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49A" w:rsidRDefault="00EE3A8C">
      <w:pPr>
        <w:pStyle w:val="1"/>
        <w:jc w:val="center"/>
      </w:pPr>
      <w:r>
        <w:t>Учет операций факторинга в банке</w:t>
      </w:r>
    </w:p>
    <w:p w:rsidR="00EC049A" w:rsidRPr="00EE3A8C" w:rsidRDefault="00EE3A8C">
      <w:pPr>
        <w:pStyle w:val="a3"/>
      </w:pPr>
      <w:r>
        <w:t>Факторинг (факторинговое обслуживание) это финансирование банком товаров (работ, услуг), поставляемых (оказываемых и выполняемых) клиентом-продавцом своим покупателям – дебиторам, при этом клиент-продавец уступает банку свои денежные требования к своим должникам-дебиторам.</w:t>
      </w:r>
    </w:p>
    <w:p w:rsidR="00EC049A" w:rsidRDefault="00EE3A8C">
      <w:pPr>
        <w:pStyle w:val="a3"/>
      </w:pPr>
      <w:r>
        <w:t>Факторинговое обслуживание также может включать в себя:</w:t>
      </w:r>
    </w:p>
    <w:p w:rsidR="00EC049A" w:rsidRDefault="00EE3A8C">
      <w:pPr>
        <w:pStyle w:val="a3"/>
      </w:pPr>
      <w:r>
        <w:t>учет текущего состояния дебиторской задолженности,</w:t>
      </w:r>
    </w:p>
    <w:p w:rsidR="00EC049A" w:rsidRDefault="00EE3A8C">
      <w:pPr>
        <w:pStyle w:val="a3"/>
      </w:pPr>
      <w:r>
        <w:t>контроль своевременности оплаты денежных требований,</w:t>
      </w:r>
    </w:p>
    <w:p w:rsidR="00EC049A" w:rsidRDefault="00EE3A8C">
      <w:pPr>
        <w:pStyle w:val="a3"/>
      </w:pPr>
      <w:r>
        <w:t>иные финансовые услуги.</w:t>
      </w:r>
    </w:p>
    <w:p w:rsidR="00EC049A" w:rsidRDefault="00EE3A8C">
      <w:pPr>
        <w:pStyle w:val="a3"/>
      </w:pPr>
      <w:r>
        <w:t>При заключении договора факторинга с правом регресса, ответственность за неисполнение в дальнейшем дебитором своих обязательств возлагается на клиента-продавца, т.е., в том случае, если дебитор не погасит в установленный срок свою задолженность, банк имеет право требовать с клиента-продавца возврата ранее оплаченных ему сумм.</w:t>
      </w:r>
    </w:p>
    <w:p w:rsidR="00EC049A" w:rsidRDefault="00EE3A8C">
      <w:pPr>
        <w:pStyle w:val="a3"/>
      </w:pPr>
      <w:r>
        <w:t>Заключение договора факторинга без права регресса предполагает, что все риски, связанные с возможным неисполнением дебиторами (должниками клиента-продавца) своих обязательств, банк берет на себя. В связи с чем, обычной практикой при заключении таких договоров является страхование банком своих рисков. Поэтому при заключении договора факторинга без ответственности клиента за неисполнение дебитором своих обязательств (без права регресса) банком взимаются дополнительные комиссии, так как затраты банка в этом случае увеличены на сумму страховой премии, оплачиваемой страховой компании. Причем расходы на оплату такой страховой премии не уменьшают налогооблагаемую базу по налогу на прибыль банка.</w:t>
      </w:r>
    </w:p>
    <w:p w:rsidR="00EC049A" w:rsidRDefault="00EE3A8C">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60312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Оплата страховой компании комиссий и страховой премии в рамках договора страхования рисков неисполнения обязательств дебитором</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301, 40701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ДТ 70606</w:t>
            </w:r>
          </w:p>
          <w:p w:rsidR="00EC049A" w:rsidRPr="00EE3A8C" w:rsidRDefault="00EE3A8C">
            <w:pPr>
              <w:pStyle w:val="a3"/>
            </w:pPr>
            <w:r w:rsidRPr="00EE3A8C">
              <w:t>(символ 25303)</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Расходы, не уменьшающие налогооблагаемую базу по налогу на прибыль, на оплату комиссий страховой компании в рамках договора страхования рисков неисполнения обязательств дебитором</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60310</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НДС</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60312</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ДТ 70606</w:t>
            </w:r>
          </w:p>
          <w:p w:rsidR="00EC049A" w:rsidRPr="00EE3A8C" w:rsidRDefault="00EE3A8C">
            <w:pPr>
              <w:pStyle w:val="a3"/>
            </w:pPr>
            <w:r w:rsidRPr="00EE3A8C">
              <w:t>(символ 26410)</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Расходы, не уменьшающие налогооблагаемую базу по налогу на прибыль, на оплату страховой премии страховой компании в рамках договора страхования рисков неисполнения обязательств дебитором</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60312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bl>
    <w:p w:rsidR="00EC049A" w:rsidRPr="00EE3A8C" w:rsidRDefault="00EE3A8C">
      <w:pPr>
        <w:pStyle w:val="a3"/>
      </w:pPr>
      <w:r>
        <w:t>Оценка рисков, которую банк проводит при заключении договора на факторинговое обслуживание, аналогична оценке рисков, проводимой по операциям кредитования. Причем анализируется финансовое положение и кредитоспособность и клиента – продавца и его дебиторов. На основании проведенного анализа и оценки дебиторов по критериям, установленным внутренними документами, банк устанавливает лимиты финансирования на каждого дебитора или группу дебиторов данного продавца.</w:t>
      </w:r>
    </w:p>
    <w:p w:rsidR="00EC049A" w:rsidRDefault="00EE3A8C">
      <w:pPr>
        <w:pStyle w:val="a3"/>
      </w:pPr>
      <w:r>
        <w:t>Финансирование осуществляется банком по мере осуществления продавцом поставок товаров (выполнения работ, оказания услуг) на основании предъявленных в банк продавцом документов, определенных договором: товарно-транспортных накладных, счетов – фактур, договоров, и т.д.</w:t>
      </w:r>
    </w:p>
    <w:p w:rsidR="00EC049A" w:rsidRDefault="00EE3A8C">
      <w:pPr>
        <w:pStyle w:val="a3"/>
      </w:pPr>
      <w:r>
        <w:t>Бухгалтерский учет операций факторинга осуществляется в общем порядке, предусмотренном Приложением 12 Положения Банка России № 302-П от 26.03.2007 "О Правилах ведения бухгалтерского учета в кредитных организациях, расположенных на территории Российской Федерации".</w:t>
      </w:r>
    </w:p>
    <w:p w:rsidR="00EC049A" w:rsidRDefault="00EE3A8C">
      <w:pPr>
        <w:pStyle w:val="a3"/>
      </w:pPr>
      <w:r>
        <w:t>При отражении в учете банка операций факторинга используются нижеследующие счета бухгалтерского учета:</w:t>
      </w:r>
    </w:p>
    <w:p w:rsidR="00EC049A" w:rsidRDefault="00EE3A8C">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Номер и аналитика счета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Характеристика счета</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301 (А)</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Корреспондентские счета</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405 (П)</w:t>
            </w:r>
          </w:p>
          <w:p w:rsidR="00EC049A" w:rsidRPr="00EE3A8C" w:rsidRDefault="00EE3A8C">
            <w:pPr>
              <w:pStyle w:val="a3"/>
            </w:pPr>
            <w:r w:rsidRPr="00EE3A8C">
              <w:t>по договорам на расчетно-кассовое обслуживание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Счета коммерческих организаций, находящихся в федеральной собственности</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406 (П)</w:t>
            </w:r>
          </w:p>
          <w:p w:rsidR="00EC049A" w:rsidRPr="00EE3A8C" w:rsidRDefault="00EE3A8C">
            <w:pPr>
              <w:pStyle w:val="a3"/>
            </w:pPr>
            <w:r w:rsidRPr="00EE3A8C">
              <w:t>по договорам на расчетно-кассовое обслуживание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Счета коммерческих организаций, находящихся в государственной (кроме федеральной) собственности</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407 (П)</w:t>
            </w:r>
          </w:p>
          <w:p w:rsidR="00EC049A" w:rsidRPr="00EE3A8C" w:rsidRDefault="00EE3A8C">
            <w:pPr>
              <w:pStyle w:val="a3"/>
            </w:pPr>
            <w:r w:rsidRPr="00EE3A8C">
              <w:t>по договорам на расчетно-кассовое обслуживание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Счета негосударственных коммерческих организаций</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40802 (П)</w:t>
            </w:r>
          </w:p>
          <w:p w:rsidR="00EC049A" w:rsidRPr="00EE3A8C" w:rsidRDefault="00EE3A8C">
            <w:pPr>
              <w:pStyle w:val="a3"/>
            </w:pPr>
            <w:r w:rsidRPr="00EE3A8C">
              <w:t>по договорам на расчетно-кассовое обслуживание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Счета физических лиц – индивидуальных предпринимателей</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47401 (П)</w:t>
            </w:r>
          </w:p>
          <w:p w:rsidR="00EC049A" w:rsidRPr="00EE3A8C" w:rsidRDefault="00EE3A8C">
            <w:pPr>
              <w:pStyle w:val="a3"/>
            </w:pPr>
            <w:r w:rsidRPr="00EE3A8C">
              <w:t>По каждому договору</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Расчеты с клиентами по факторинговым, форфейтинговым операциям</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47402 (А)</w:t>
            </w:r>
          </w:p>
          <w:p w:rsidR="00EC049A" w:rsidRPr="00EE3A8C" w:rsidRDefault="00EE3A8C">
            <w:pPr>
              <w:pStyle w:val="a3"/>
            </w:pPr>
            <w:r w:rsidRPr="00EE3A8C">
              <w:t>По каждому договору</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47422 (П)</w:t>
            </w:r>
          </w:p>
          <w:p w:rsidR="00EC049A" w:rsidRPr="00EE3A8C" w:rsidRDefault="00EE3A8C">
            <w:pPr>
              <w:pStyle w:val="a3"/>
            </w:pPr>
            <w:r w:rsidRPr="00EE3A8C">
              <w:t>По каждому договору</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Обязательства по прочим операциям</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47423 (А)</w:t>
            </w:r>
          </w:p>
          <w:p w:rsidR="00EC049A" w:rsidRPr="00EE3A8C" w:rsidRDefault="00EE3A8C">
            <w:pPr>
              <w:pStyle w:val="a3"/>
            </w:pPr>
            <w:r w:rsidRPr="00EE3A8C">
              <w:t>По каждому договору</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Требования по прочим операциям</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47425 (П)</w:t>
            </w:r>
          </w:p>
          <w:p w:rsidR="00EC049A" w:rsidRPr="00EE3A8C" w:rsidRDefault="00EE3A8C">
            <w:pPr>
              <w:pStyle w:val="a3"/>
            </w:pPr>
            <w:r w:rsidRPr="00EE3A8C">
              <w:t>По каждому договору</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Резервы на возможные потери</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47803 (А)</w:t>
            </w:r>
          </w:p>
          <w:p w:rsidR="00EC049A" w:rsidRPr="00EE3A8C" w:rsidRDefault="00EE3A8C">
            <w:pPr>
              <w:pStyle w:val="a3"/>
            </w:pPr>
            <w:r w:rsidRPr="00EE3A8C">
              <w:t>По каждому договору, в аналитике по текущей и просроченной задолженности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Права требования, приобретенные по договорам финансирования под уступку денежного требования</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47804 (П)</w:t>
            </w:r>
          </w:p>
          <w:p w:rsidR="00EC049A" w:rsidRPr="00EE3A8C" w:rsidRDefault="00EE3A8C">
            <w:pPr>
              <w:pStyle w:val="a3"/>
            </w:pPr>
            <w:r w:rsidRPr="00EE3A8C">
              <w:t>По каждому договору, в аналитике по текущей и просроченной задолженности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Резервы на возможные потери</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60309 (П)</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Налог на добавленную стоимость полученный</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61212</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Выбытие (реализация) и погашение приобретенных прав требования</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70601 (П)</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70601 (П) Доходы</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70606 (А)</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70606 (А) Расходы</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91418 (А)</w:t>
            </w:r>
          </w:p>
          <w:p w:rsidR="00EC049A" w:rsidRPr="00EE3A8C" w:rsidRDefault="00EE3A8C">
            <w:pPr>
              <w:pStyle w:val="a3"/>
            </w:pPr>
            <w:r w:rsidRPr="00EE3A8C">
              <w:t>Аналитика определяется банком (в разрезе договоров, контрагентов и т.д.)</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Номинальная стоимость приобретенных прав требования</w:t>
            </w:r>
          </w:p>
        </w:tc>
      </w:tr>
    </w:tbl>
    <w:p w:rsidR="00EC049A" w:rsidRPr="00EE3A8C" w:rsidRDefault="00EE3A8C">
      <w:pPr>
        <w:pStyle w:val="a3"/>
      </w:pPr>
      <w:r>
        <w:t>Общая схема бухгалтерских проводок по учету операций факторинга</w:t>
      </w:r>
    </w:p>
    <w:p w:rsidR="00EC049A" w:rsidRDefault="00EE3A8C">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tblGrid>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47402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Перечисление клиенту (продавцу) денежных средств согласно условиям договора факторинга (финансирование). Аналогичной проводкой отражаются затраты, связанные с приобретением прав требования.</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301, 405, 406, 407, 40802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47803</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Учет приобретенных прав требования по цене приобретения (фактические затраты)</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47402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91418</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Номинальная стоимость приобретенных прав</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99999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ДТ 70606</w:t>
            </w:r>
          </w:p>
          <w:p w:rsidR="00EC049A" w:rsidRPr="00EE3A8C" w:rsidRDefault="00EE3A8C">
            <w:pPr>
              <w:pStyle w:val="a3"/>
            </w:pPr>
            <w:r w:rsidRPr="00EE3A8C">
              <w:t>(символ 25302)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Формирование резерва на возможные потери (на 47803)</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47804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301, 405, 406, 407, 40802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Поступление денежных средств от должника (или от страховой компании в сумме возмещения при наступлении страхового случая в рамках договоров страхования рисков неисполнения обязательств дебитором при факторинге без регресса)</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61212*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61212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Отражение обязательства банка по перечислению продавцу остатка денежных средств после получения от должника полной оплаты</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47401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47401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Перечисление остатка денежных средств продавцу в день получения полной оплаты от должника</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301, 405, 406, 407, 40802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61212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Отражение погашения вложений в приобретенные права требования. В случае частичной оплаты – в части пропорциональной отношению суммы частичного платежа к номинальной стоимости права требования</w:t>
            </w:r>
          </w:p>
        </w:tc>
      </w:tr>
      <w:tr w:rsidR="00EC049A">
        <w:trPr>
          <w:trHeight w:val="285"/>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47803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КТ 70601</w:t>
            </w:r>
          </w:p>
          <w:p w:rsidR="00EC049A" w:rsidRPr="00EE3A8C" w:rsidRDefault="00EE3A8C">
            <w:pPr>
              <w:pStyle w:val="a3"/>
            </w:pPr>
            <w:r w:rsidRPr="00EE3A8C">
              <w:t>(символ 16203)</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Комиссия за факторинговое обслуживание</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60309</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НДС полученный с комиссии за факторинговое обслуживание</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47804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Восстановление резерва на возможные потери. В случае частичной оплаты – пропорционально сумме погашаемой по 47803</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70601 (символ 16305)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99999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Отражение списания номинальной стоимости приобретенных прав требования, пропорционально погашаемой сумме</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91418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301, 405, 406, 407, 40802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Поступление от клиента иных комиссий в рамках договора факторинга (за обработку документов, за учет дебиторский задолженности и т.д.)</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47401**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47401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Отражение на доходах суммы поступившей комиссии</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70601 (символ 16203)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60309</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НДС с суммы поступившей комиссии</w:t>
            </w:r>
          </w:p>
        </w:tc>
      </w:tr>
    </w:tbl>
    <w:p w:rsidR="00EC049A" w:rsidRPr="00EE3A8C" w:rsidRDefault="00EE3A8C">
      <w:pPr>
        <w:pStyle w:val="a3"/>
      </w:pPr>
      <w:r>
        <w:t>*Как вариант. Положение 302-П содержит некоторое несоответствие между характеристикой счетов 47401(47402) и учетом данной операции, предлагаемой Приложением 12, поэтому порядок учета поступления средств от должника (на 612 или на 474) кредитная организация должна определить своими внутренними документами.</w:t>
      </w:r>
    </w:p>
    <w:p w:rsidR="00EC049A" w:rsidRDefault="00EE3A8C">
      <w:pPr>
        <w:pStyle w:val="a3"/>
      </w:pPr>
      <w:r>
        <w:t>Приложение 12, п.2.1.2:</w:t>
      </w:r>
    </w:p>
    <w:p w:rsidR="00EC049A" w:rsidRDefault="00EE3A8C">
      <w:pPr>
        <w:pStyle w:val="a3"/>
      </w:pPr>
      <w:r>
        <w:t>«...2.1.2. Поступление денежных средств от должника (заемщика) отражается бухгалтерскими записями:</w:t>
      </w:r>
    </w:p>
    <w:p w:rsidR="00EC049A" w:rsidRDefault="00EE3A8C">
      <w:pPr>
        <w:pStyle w:val="a3"/>
      </w:pPr>
      <w:r>
        <w:t>а) Дебет - счетов по учету денежных средств</w:t>
      </w:r>
    </w:p>
    <w:p w:rsidR="00EC049A" w:rsidRDefault="00EE3A8C">
      <w:pPr>
        <w:pStyle w:val="a3"/>
      </w:pPr>
      <w:r>
        <w:t>Кредит - счета выбытия (реализации) и погашения приобретенных прав требования...»</w:t>
      </w:r>
    </w:p>
    <w:p w:rsidR="00EC049A" w:rsidRDefault="00EE3A8C">
      <w:pPr>
        <w:pStyle w:val="a3"/>
      </w:pPr>
      <w:r>
        <w:t>Характеристика счета 47401 (47402):</w:t>
      </w:r>
    </w:p>
    <w:p w:rsidR="00EC049A" w:rsidRDefault="00EE3A8C">
      <w:pPr>
        <w:pStyle w:val="a3"/>
      </w:pPr>
      <w:r>
        <w:t>«...По кредиту этого счета отражаются суммы поступивших в оплату счетов-фактур в погашение сумм за оплаченные векселя в корреспонденции со счетами корреспондентскими (?), клиентов....».</w:t>
      </w:r>
    </w:p>
    <w:p w:rsidR="00EC049A" w:rsidRDefault="00EE3A8C">
      <w:pPr>
        <w:pStyle w:val="a3"/>
      </w:pPr>
      <w:r>
        <w:t>?Прим. Можно предположить, что под странным сочетанием «счетами корреспондентскими» ЦБ имел в виду корреспондентский счет (301)?</w:t>
      </w:r>
    </w:p>
    <w:p w:rsidR="00EC049A" w:rsidRDefault="00EE3A8C">
      <w:pPr>
        <w:pStyle w:val="a3"/>
      </w:pPr>
      <w:r>
        <w:t>**Как вариант. Возможно отражение комиссионного вознаграждения по операциям факторинга в порядке, описанном в статье «Комиссионное вознаграждение. Бухгалтерский учет в банке». Конкретный порядок отображения таких комиссий необходимо отразить во внутренних документах банка.</w:t>
      </w:r>
    </w:p>
    <w:p w:rsidR="00EC049A" w:rsidRDefault="00EE3A8C">
      <w:pPr>
        <w:pStyle w:val="a3"/>
      </w:pPr>
      <w:r>
        <w:t>В случае не поступления оплаты от дебитора в установленный срок, учет задолженности и резервов по ней целесообразно перенести на отдельные счета 47803 и 47804 по аналитике «Просроченная задолженность»</w:t>
      </w:r>
    </w:p>
    <w:p w:rsidR="00EC049A" w:rsidRDefault="00EE3A8C">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tblGrid>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47803 «Просроченная задолженность»</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Перенос просроченной задолженности на отдельный счет в связи с не поступлением оплаты от дебитора в установленный срок</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47803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ДТ 47804</w:t>
            </w:r>
          </w:p>
          <w:p w:rsidR="00EC049A" w:rsidRPr="00EE3A8C" w:rsidRDefault="00EE3A8C">
            <w:pPr>
              <w:pStyle w:val="a3"/>
            </w:pPr>
            <w:r w:rsidRPr="00EE3A8C">
              <w:t>«РВП по просроченной задолженности»</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Перенос РВП по просроченной задолженности на отдельный счет</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47804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ДТ 70606</w:t>
            </w:r>
          </w:p>
          <w:p w:rsidR="00EC049A" w:rsidRPr="00EE3A8C" w:rsidRDefault="00EE3A8C">
            <w:pPr>
              <w:pStyle w:val="a3"/>
            </w:pPr>
            <w:r w:rsidRPr="00EE3A8C">
              <w:t>(символ 25302)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Доначисление резерва на возможные потери в связи с изменением категории качества</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47804 «РВП по просроченной задолженности»</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bl>
    <w:p w:rsidR="00EC049A" w:rsidRPr="00EE3A8C" w:rsidRDefault="00EE3A8C">
      <w:pPr>
        <w:pStyle w:val="a3"/>
      </w:pPr>
      <w:r>
        <w:t>Отражение в учете операций в день поступления денежных средств от должника – дебитора производится в порядке, описанном в пунктах 5-12, при этом вместо счетов 47803 и 47804 в проводках участвуют соответствующие счета 47803 «Просроченная задолженность» и 47804 «РВП по просроченной задолженности». При этом, сумма штрафных санкций может быть отражена дополнительной проводкой:</w:t>
      </w:r>
    </w:p>
    <w:p w:rsidR="00EC049A" w:rsidRDefault="00EE3A8C">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tblGrid>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61212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Взимание штрафов, начисленных в соответствии с условиями договора</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Pr="00EE3A8C" w:rsidRDefault="00EE3A8C">
            <w:pPr>
              <w:pStyle w:val="a3"/>
            </w:pPr>
            <w:r w:rsidRPr="00EE3A8C">
              <w:t>КТ 70601</w:t>
            </w:r>
          </w:p>
          <w:p w:rsidR="00EC049A" w:rsidRPr="00EE3A8C" w:rsidRDefault="00EE3A8C">
            <w:pPr>
              <w:pStyle w:val="a3"/>
            </w:pPr>
            <w:r w:rsidRPr="00EE3A8C">
              <w:t>(символ 17101)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bl>
    <w:p w:rsidR="00EC049A" w:rsidRPr="00EE3A8C" w:rsidRDefault="00EE3A8C">
      <w:pPr>
        <w:pStyle w:val="a3"/>
      </w:pPr>
      <w:r>
        <w:t>Полученное обеспечение учитывается в соответствии с порядком, описанном в статье «Обеспечение исполнения обязательств. Учет в банке».</w:t>
      </w:r>
    </w:p>
    <w:p w:rsidR="00EC049A" w:rsidRDefault="00EE3A8C">
      <w:pPr>
        <w:pStyle w:val="a3"/>
      </w:pPr>
      <w:r>
        <w:t>Если права требования к своему должнику уступлены клиентом банку в обеспечение исполнения обязательств перед банком, то в бухгалтерском учете банка, дополнительно к стандартным проводкам по выдаче кредита (либо иных средств, относимых к прочим размещенным) в бухгалтерском учете должны появиться следующие проводки:</w:t>
      </w:r>
    </w:p>
    <w:p w:rsidR="00EC049A" w:rsidRDefault="00EE3A8C">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tblGrid>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47803</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Отражение прав требований в сумме обеспечения, установленной в договоре уступки</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47401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91418</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Общая сумма прав требования, включающая основной долг, проценты и неустойки и т.д.</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99999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70606 (символ 25302)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Формирование резерва на возможные потери (на 47803)***</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47804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301, 405, 406, 407, 40802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Поступление денежных средств от должника</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61212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61212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Погашение приобретенных прав требований в сумме, поступившей от должника</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47803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47401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Погашение задолженности клиента перед банком, в сумме, поступившей от должника. Одновременно в бухгалтерском учете делаются проводки по восстановлению резерва, снятию с учета обеспечения в порядке, предусмотренном для стандартного погашения кредитов (или средств, относимым к прочим размещенным)</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счетов по учету кредитов, счетов по учету прочих размещенных средств, процентов, просроченной задолженности клиента по первоначальному договору</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301, 405, 406, 407, 40802</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Перечисление остатка средств клиенту –продавцу</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99999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Списание с учета общей (номинальной) суммы прав требования (пропорционально сумме погашения)</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91418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47401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C049A" w:rsidRDefault="00EE3A8C">
            <w:r>
              <w:t>Списание с баланса неиспользованной суммы обеспечения, в случае, если клиент самостоятельно исполнил свои обязательства перед банком</w:t>
            </w:r>
          </w:p>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47803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ДТ 99999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r w:rsidR="00EC049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C049A" w:rsidRDefault="00EE3A8C">
            <w:r>
              <w:t>КТ 91418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C049A" w:rsidRDefault="00EC049A"/>
        </w:tc>
      </w:tr>
    </w:tbl>
    <w:p w:rsidR="00EC049A" w:rsidRPr="00EE3A8C" w:rsidRDefault="00EE3A8C">
      <w:pPr>
        <w:pStyle w:val="a3"/>
      </w:pPr>
      <w:r>
        <w:t>*** К сожалению, в данном случае происходит двойное резервирование одного и того же актива:</w:t>
      </w:r>
    </w:p>
    <w:p w:rsidR="00EC049A" w:rsidRDefault="00EE3A8C">
      <w:pPr>
        <w:pStyle w:val="a3"/>
      </w:pPr>
      <w:r>
        <w:t>по базовому кредитному договору – по счетам резервов по предоставленным кредитам и прочим размещенным средствам;</w:t>
      </w:r>
    </w:p>
    <w:p w:rsidR="00EC049A" w:rsidRDefault="00EE3A8C">
      <w:pPr>
        <w:pStyle w:val="a3"/>
      </w:pPr>
      <w:r>
        <w:t>по требованиям отраженным на счете 47803 (фактически являющихся обеспечением по кредиту)- по счету резерва 47804.</w:t>
      </w:r>
    </w:p>
    <w:p w:rsidR="00EC049A" w:rsidRDefault="00EE3A8C">
      <w:pPr>
        <w:pStyle w:val="a3"/>
      </w:pPr>
      <w:r>
        <w:t>Данное обстоятельство необходимо учитывать при решении вопроса о принятии в обеспечение прав требования клиента-заемщика к его должникам.</w:t>
      </w:r>
      <w:bookmarkStart w:id="0" w:name="_GoBack"/>
      <w:bookmarkEnd w:id="0"/>
    </w:p>
    <w:sectPr w:rsidR="00EC049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3A8C"/>
    <w:rsid w:val="00EC049A"/>
    <w:rsid w:val="00EE3A8C"/>
    <w:rsid w:val="00FD56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1AECA0E-DEED-4867-952D-9641898CC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1699</Words>
  <Characters>9685</Characters>
  <Application>Microsoft Office Word</Application>
  <DocSecurity>0</DocSecurity>
  <Lines>80</Lines>
  <Paragraphs>22</Paragraphs>
  <ScaleCrop>false</ScaleCrop>
  <Company>diakov.net</Company>
  <LinksUpToDate>false</LinksUpToDate>
  <CharactersWithSpaces>11362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Учет операций факторинга в банке</dc:title>
  <dc:subject/>
  <dc:creator>Irina</dc:creator>
  <cp:keywords/>
  <dc:description/>
  <cp:lastModifiedBy>Irina</cp:lastModifiedBy>
  <cp:revision>2</cp:revision>
  <dcterms:created xsi:type="dcterms:W3CDTF">2014-07-19T03:27:00Z</dcterms:created>
  <dcterms:modified xsi:type="dcterms:W3CDTF">2014-07-19T03:27:00Z</dcterms:modified>
</cp:coreProperties>
</file>