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B3" w:rsidRPr="00C53AAA" w:rsidRDefault="005C7EB3" w:rsidP="005C7EB3">
      <w:pPr>
        <w:spacing w:before="120"/>
        <w:jc w:val="center"/>
        <w:rPr>
          <w:b/>
          <w:sz w:val="32"/>
        </w:rPr>
      </w:pPr>
      <w:r w:rsidRPr="00C53AAA">
        <w:rPr>
          <w:b/>
          <w:sz w:val="32"/>
        </w:rPr>
        <w:t>Как организовать налоговый учет на предприятии</w:t>
      </w:r>
    </w:p>
    <w:p w:rsidR="005C7EB3" w:rsidRPr="005C7EB3" w:rsidRDefault="005C7EB3" w:rsidP="005C7EB3">
      <w:pPr>
        <w:spacing w:before="120"/>
        <w:jc w:val="center"/>
        <w:rPr>
          <w:sz w:val="28"/>
        </w:rPr>
      </w:pPr>
      <w:r w:rsidRPr="005C7EB3">
        <w:rPr>
          <w:sz w:val="28"/>
        </w:rPr>
        <w:t xml:space="preserve">Кислов Д.В., к.э.н.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В каком документе описать сформированную систему налогового учета? На что следует обратить особое внимание при формировании системы налогового учета? </w:t>
      </w:r>
    </w:p>
    <w:p w:rsidR="005C7EB3" w:rsidRPr="00C53AAA" w:rsidRDefault="005C7EB3" w:rsidP="005C7EB3">
      <w:pPr>
        <w:spacing w:before="120"/>
        <w:jc w:val="center"/>
        <w:rPr>
          <w:b/>
          <w:sz w:val="28"/>
        </w:rPr>
      </w:pPr>
      <w:r w:rsidRPr="00C53AAA">
        <w:rPr>
          <w:b/>
          <w:sz w:val="28"/>
        </w:rPr>
        <w:t xml:space="preserve">Не «может», а «обязан»?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Для этих целей используется обычная учетная политика предприятия. Чаще всего в ней выделяют отдельный раздел. Нормы</w:t>
      </w:r>
      <w:r>
        <w:t xml:space="preserve">, </w:t>
      </w:r>
      <w:r w:rsidRPr="00C53AAA">
        <w:t>регулирующие правила формирования и раскрытия учетной политики</w:t>
      </w:r>
      <w:r>
        <w:t xml:space="preserve">, </w:t>
      </w:r>
      <w:r w:rsidRPr="00C53AAA">
        <w:t>содержатся в нормативном документе (Положении по бухгалтерскому учету «Учетная политика организации» (ПБУ 1/2008)</w:t>
      </w:r>
      <w:r>
        <w:t xml:space="preserve">, </w:t>
      </w:r>
      <w:r w:rsidRPr="00C53AAA">
        <w:t>утвержденном приказом Минфина РФ от 06.10.2008 № 106н). Но</w:t>
      </w:r>
      <w:r>
        <w:t xml:space="preserve">, </w:t>
      </w:r>
      <w:r w:rsidRPr="00C53AAA">
        <w:t>по моему мнению</w:t>
      </w:r>
      <w:r>
        <w:t xml:space="preserve">, </w:t>
      </w:r>
      <w:r w:rsidRPr="00C53AAA">
        <w:t>основные моменты в части</w:t>
      </w:r>
      <w:r>
        <w:t xml:space="preserve">, </w:t>
      </w:r>
      <w:r w:rsidRPr="00C53AAA">
        <w:t>не противоречащей налоговому законодательству</w:t>
      </w:r>
      <w:r>
        <w:t xml:space="preserve">, </w:t>
      </w:r>
      <w:r w:rsidRPr="00C53AAA">
        <w:t>можно использовать и в целях формирования учетной политики</w:t>
      </w:r>
      <w:r>
        <w:t xml:space="preserve">, </w:t>
      </w:r>
      <w:r w:rsidRPr="00C53AAA">
        <w:t xml:space="preserve">в целях расчета налоговых баз.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Более того</w:t>
      </w:r>
      <w:r>
        <w:t xml:space="preserve">, </w:t>
      </w:r>
      <w:r w:rsidRPr="00C53AAA">
        <w:t>в ст. 313 НК РФ прямо указывается</w:t>
      </w:r>
      <w:r>
        <w:t xml:space="preserve">, </w:t>
      </w:r>
      <w:r w:rsidRPr="00C53AAA">
        <w:t>что порядок ведения налогового учета устанавливается налогоплательщиком в учетной политике для целей налогообложения</w:t>
      </w:r>
      <w:r>
        <w:t xml:space="preserve">, </w:t>
      </w:r>
      <w:r w:rsidRPr="00C53AAA">
        <w:t>утверждаемой соответствующим приказом (распоряжением) руководителя. Налоговые и иные органы не вправе устанавливать для налогоплательщиков обязательные формы документов налогового учета. То есть налогоплательщик не просто может</w:t>
      </w:r>
      <w:r>
        <w:t xml:space="preserve">, </w:t>
      </w:r>
      <w:r w:rsidRPr="00C53AAA">
        <w:t xml:space="preserve">а обязан сформировать учетную политику для целей организации налогового учета.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Структурируем учетную политику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При формировании учетной политики для целей налогового учета рекомендуем выделять два раздела</w:t>
      </w:r>
      <w:r>
        <w:t xml:space="preserve">, </w:t>
      </w:r>
      <w:r w:rsidRPr="00C53AAA">
        <w:t>аналогично разделам</w:t>
      </w:r>
      <w:r>
        <w:t xml:space="preserve">, </w:t>
      </w:r>
      <w:r w:rsidRPr="00C53AAA">
        <w:t xml:space="preserve">посвященным бухгалтерскому учету.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Первый раздел – организационно-технический. В нем можно указать организационно-технические аспекты ведения налогового учета. Также в данном разделе можно прописать форму и содержание регистров налогового учета по налогу на прибыль и НДС</w:t>
      </w:r>
      <w:r>
        <w:t xml:space="preserve">, </w:t>
      </w:r>
      <w:r w:rsidRPr="00C53AAA">
        <w:t>форму аналитического регистра налогового учета для целей определения налоговой базы по НДФЛ</w:t>
      </w:r>
      <w:r>
        <w:t xml:space="preserve">, </w:t>
      </w:r>
      <w:r w:rsidRPr="00C53AAA">
        <w:t>способ ведения налогового учета (например</w:t>
      </w:r>
      <w:r>
        <w:t xml:space="preserve">, </w:t>
      </w:r>
      <w:r w:rsidRPr="00C53AAA">
        <w:t>в специализированной программе 1С или электронных таблицах)</w:t>
      </w:r>
      <w:r>
        <w:t xml:space="preserve">, </w:t>
      </w:r>
      <w:r w:rsidRPr="00C53AAA">
        <w:t>перечень должностных лиц</w:t>
      </w:r>
      <w:r>
        <w:t xml:space="preserve">, </w:t>
      </w:r>
      <w:r w:rsidRPr="00C53AAA">
        <w:t>имеющих право подписи счетов-фактур</w:t>
      </w:r>
      <w:r>
        <w:t xml:space="preserve">, </w:t>
      </w:r>
      <w:r w:rsidRPr="00C53AAA">
        <w:t xml:space="preserve">и т. п.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Второй раздел – методический. В нем будут регламентированы особенности ведения налогового учета.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На что следует обратить особое внимание при формировании системы налогового учета?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Налог на прибыль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Основные средства и нематериальные активы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порядок определения первоначальной и остаточной стоимости объектов основных средств и нематериальных активов.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Это обуславливается тем</w:t>
      </w:r>
      <w:r>
        <w:t xml:space="preserve">, </w:t>
      </w:r>
      <w:r w:rsidRPr="00C53AAA">
        <w:t>что возникает немало споров с налоговыми органами относительно включения ряда расходов</w:t>
      </w:r>
      <w:r>
        <w:t xml:space="preserve">, </w:t>
      </w:r>
      <w:r w:rsidRPr="00C53AAA">
        <w:t>связанных с приобретением актива</w:t>
      </w:r>
      <w:r>
        <w:t xml:space="preserve">, </w:t>
      </w:r>
      <w:r w:rsidRPr="00C53AAA">
        <w:t>в его первоначальную стоимость или в состав прочих и внереализационных расходов.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конкретные сроки полезного использования основных средств в пределах временного интервала согласно классификации основных средств</w:t>
      </w:r>
      <w:r>
        <w:t xml:space="preserve">, </w:t>
      </w:r>
      <w:r w:rsidRPr="00C53AAA">
        <w:t xml:space="preserve">утверждаемой Правительством Российской Федерации (постановление Правительства РФ от 01.01.2002 № 1);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определение нормы амортизации по основным средствам</w:t>
      </w:r>
      <w:r>
        <w:t xml:space="preserve">, </w:t>
      </w:r>
      <w:r w:rsidRPr="00C53AAA">
        <w:t>бывшим в эксплуатации</w:t>
      </w:r>
      <w:r>
        <w:t xml:space="preserve">, </w:t>
      </w:r>
      <w:r w:rsidRPr="00C53AAA">
        <w:t xml:space="preserve">если применяется линейный метод.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Норма амортизации устанавливается с учетом или без учета срока эксплуатации основных средств предыдущими собственниками (п. 7 ст. 258 НК РФ).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метод начисления амортизации (линейный или нелинейный);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применяется ли так называемая амортизационная премия в отношении основных средств (п. 9 ст. 258 НК РФ).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Если учетной политикой предусмотрено применение такой премии</w:t>
      </w:r>
      <w:r>
        <w:t xml:space="preserve">, </w:t>
      </w:r>
      <w:r w:rsidRPr="00C53AAA">
        <w:t>то должно быть оговорено</w:t>
      </w:r>
      <w:r>
        <w:t xml:space="preserve">, </w:t>
      </w:r>
      <w:r w:rsidRPr="00C53AAA">
        <w:t xml:space="preserve">применяется ли единый размер амортизационной премии или возможны какие-нибудь особенности.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применяются ли понижающие или повышающие коэффициенты к нормам амортизации основных средств (п. 13 ст. 258 НК РФ);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порядок определения остаточной стоимости объектов в случае</w:t>
      </w:r>
      <w:r>
        <w:t xml:space="preserve">, </w:t>
      </w:r>
      <w:r w:rsidRPr="00C53AAA">
        <w:t xml:space="preserve">если используется нелинейный метод начисления амортизации.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Материальные расходы и товары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порядок формирования покупной стоимости товаров.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Налогоплательщик имеет право сформировать стоимость приобретения товаров с учетом расходов</w:t>
      </w:r>
      <w:r>
        <w:t xml:space="preserve">, </w:t>
      </w:r>
      <w:r w:rsidRPr="00C53AAA">
        <w:t xml:space="preserve">связанных с приобретением этих товаров (ст. 320 НК РФ).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Соответственно</w:t>
      </w:r>
      <w:r>
        <w:t xml:space="preserve">, </w:t>
      </w:r>
      <w:r w:rsidRPr="00C53AAA">
        <w:t>в учетной политике должен быть прописан конкретный порядок формирования покупной стоимости товарных активов.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метод оценки материальных расходов и покупных товаров при списании сырья и материалов</w:t>
      </w:r>
      <w:r>
        <w:t xml:space="preserve">, </w:t>
      </w:r>
      <w:r w:rsidRPr="00C53AAA">
        <w:t>используемых при производстве (изготовлении) товаров (выполнении работ</w:t>
      </w:r>
      <w:r>
        <w:t xml:space="preserve">, </w:t>
      </w:r>
      <w:r w:rsidRPr="00C53AAA">
        <w:t>оказании услуг) (п. 8 ст. 254 НК РФ) и при реализации покупных товаров (пп. 3 п. 1 ст. 268 НК РФ). Законодательство допускает выбор следующих методов оценки: по стоимости единицы запасов</w:t>
      </w:r>
      <w:r>
        <w:t xml:space="preserve">, </w:t>
      </w:r>
      <w:r w:rsidRPr="00C53AAA">
        <w:t>по средней стоимости</w:t>
      </w:r>
      <w:r>
        <w:t xml:space="preserve">, </w:t>
      </w:r>
      <w:r w:rsidRPr="00C53AAA">
        <w:t>по стоимости первых по времени приобретений (ФИФО)</w:t>
      </w:r>
      <w:r>
        <w:t xml:space="preserve">, </w:t>
      </w:r>
      <w:r w:rsidRPr="00C53AAA">
        <w:t xml:space="preserve">по стоимости последних по времени приобретений (ЛИФО);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нормы для списания топлива и смазочных материалов.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Поясним</w:t>
      </w:r>
      <w:r>
        <w:t xml:space="preserve">, </w:t>
      </w:r>
      <w:r w:rsidRPr="00C53AAA">
        <w:t>что контролеры настаивают на применении для целей налогового учета «Норм расхода топлив и смазочных материалов на автомобильном транспорте»</w:t>
      </w:r>
      <w:r>
        <w:t xml:space="preserve">, </w:t>
      </w:r>
      <w:r w:rsidRPr="00C53AAA">
        <w:t>введенных в действие распоряжением Министерства транспорта РФ от 14.03.2008 № АМ-23-р. Однако есть судебные решения</w:t>
      </w:r>
      <w:r>
        <w:t xml:space="preserve">, </w:t>
      </w:r>
      <w:r w:rsidRPr="00C53AAA">
        <w:t xml:space="preserve">согласно которым указанные «Нормы...» носят рекомендательный характер. Нормирование расходов горюче-смазочных материалов в целях налогообложения прибыли НК РФ не предусмотрено.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Учет расходов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состав прямых и косвенных расходов. Согласно п. 1 ст. 318 НК РФ налогоплательщик самостоятельно определяет в учетной политике для целей налогообложения перечень прямых расходов</w:t>
      </w:r>
      <w:r>
        <w:t xml:space="preserve">, </w:t>
      </w:r>
      <w:r w:rsidRPr="00C53AAA">
        <w:t>связанных с производством товаров (выполнением работ</w:t>
      </w:r>
      <w:r>
        <w:t xml:space="preserve">, </w:t>
      </w:r>
      <w:r w:rsidRPr="00C53AAA">
        <w:t xml:space="preserve">оказанием услуг);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величина суточных</w:t>
      </w:r>
      <w:r>
        <w:t xml:space="preserve">, </w:t>
      </w:r>
      <w:r w:rsidRPr="00C53AAA">
        <w:t xml:space="preserve">принимаемая для целей исчисления прибыли;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порядок расчета процентов в налоговом учете.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Например</w:t>
      </w:r>
      <w:r>
        <w:t xml:space="preserve">, </w:t>
      </w:r>
      <w:r w:rsidRPr="00C53AAA">
        <w:t>согласно ст. 269 НК РФ при отсутствии долговых обязательств перед российскими организациями</w:t>
      </w:r>
      <w:r>
        <w:t xml:space="preserve">, </w:t>
      </w:r>
      <w:r w:rsidRPr="00C53AAA">
        <w:t>выданных в том же квартале на сопоставимых условиях</w:t>
      </w:r>
      <w:r>
        <w:t xml:space="preserve">, </w:t>
      </w:r>
      <w:r w:rsidRPr="00C53AAA">
        <w:t>а также по выбору налогоплательщика предельная величина процентов</w:t>
      </w:r>
      <w:r>
        <w:t xml:space="preserve">, </w:t>
      </w:r>
      <w:r w:rsidRPr="00C53AAA">
        <w:t>признаваемых расходом</w:t>
      </w:r>
      <w:r>
        <w:t xml:space="preserve">, </w:t>
      </w:r>
      <w:r w:rsidRPr="00C53AAA">
        <w:t>принимается равной ставке рефинансирования ЦБ РФ</w:t>
      </w:r>
      <w:r>
        <w:t xml:space="preserve">, </w:t>
      </w:r>
      <w:r w:rsidRPr="00C53AAA">
        <w:t>увеличенной в 1</w:t>
      </w:r>
      <w:r>
        <w:t xml:space="preserve">, </w:t>
      </w:r>
      <w:r w:rsidRPr="00C53AAA">
        <w:t>1 раза</w:t>
      </w:r>
      <w:r>
        <w:t xml:space="preserve">, </w:t>
      </w:r>
      <w:r w:rsidRPr="00C53AAA">
        <w:t>при оформлении долгового обязательства в рублях и равной 15% по долговым обязательствам в иностранной валюте.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критерии сопоставимости условий по долговым обязательствам. В учетной политике можно конкретизировать нормы НК РФ: «При этом под долговыми обязательствами</w:t>
      </w:r>
      <w:r>
        <w:t xml:space="preserve">, </w:t>
      </w:r>
      <w:r w:rsidRPr="00C53AAA">
        <w:t>выданными на сопоставимых условиях</w:t>
      </w:r>
      <w:r>
        <w:t xml:space="preserve">, </w:t>
      </w:r>
      <w:r w:rsidRPr="00C53AAA">
        <w:t>понимаются долговые обязательства</w:t>
      </w:r>
      <w:r>
        <w:t xml:space="preserve">, </w:t>
      </w:r>
      <w:r w:rsidRPr="00C53AAA">
        <w:t>выданные одной и той же категорией кредиторов (физическими лицами или юридическими лицами) в той же валюте на те же сроки в сопоставимых объемах</w:t>
      </w:r>
      <w:r>
        <w:t xml:space="preserve">, </w:t>
      </w:r>
      <w:r w:rsidRPr="00C53AAA">
        <w:t xml:space="preserve">под аналогичные обеспечения»;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порядок учета расходов на ремонт основных средств.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Налогоплательщик может учесть рассматриваемые расходы в составе прочих расходов</w:t>
      </w:r>
      <w:r>
        <w:t xml:space="preserve">, </w:t>
      </w:r>
      <w:r w:rsidRPr="00C53AAA">
        <w:t>а может</w:t>
      </w:r>
      <w:r>
        <w:t xml:space="preserve">, </w:t>
      </w:r>
      <w:r w:rsidRPr="00C53AAA">
        <w:t>для обеспечения в течение двух и более налоговых периодов равномерного включения расходов на проведение ремонта основных средств</w:t>
      </w:r>
      <w:r>
        <w:t xml:space="preserve">, </w:t>
      </w:r>
      <w:r w:rsidRPr="00C53AAA">
        <w:t xml:space="preserve">создавать резервы под предстоящие ремонты (ст. 260 НК РФ).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В учетной политике следует указать</w:t>
      </w:r>
      <w:r>
        <w:t xml:space="preserve">, </w:t>
      </w:r>
      <w:r w:rsidRPr="00C53AAA">
        <w:t>создается резерв или нет. Если принято решение о создании резерва</w:t>
      </w:r>
      <w:r>
        <w:t xml:space="preserve">, </w:t>
      </w:r>
      <w:r w:rsidRPr="00C53AAA">
        <w:t>нужно обговорить норматив отчислений и срок его создания</w:t>
      </w:r>
      <w:r>
        <w:t xml:space="preserve">, </w:t>
      </w:r>
      <w:r w:rsidRPr="00C53AAA">
        <w:t xml:space="preserve">а также порядок подтверждения сумм резерва (плановой стоимости ремонта).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Создание резервов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НК РФ предоставляет возможность создания резерва предстоящих расходов на оплату отпусков</w:t>
      </w:r>
      <w:r>
        <w:t xml:space="preserve">, </w:t>
      </w:r>
      <w:r w:rsidRPr="00C53AAA">
        <w:t>на выплату ежегодного вознаграждения за выслугу лет (ст. 324.1 НК РФ)</w:t>
      </w:r>
      <w:r>
        <w:t xml:space="preserve">, </w:t>
      </w:r>
      <w:r w:rsidRPr="00C53AAA">
        <w:t>резерва по сомнительным долгам (ст. 266 НК РФ)</w:t>
      </w:r>
      <w:r>
        <w:t xml:space="preserve">, </w:t>
      </w:r>
      <w:r w:rsidRPr="00C53AAA">
        <w:t xml:space="preserve">по гарантийному ремонту и гарантийному обслуживанию (ст. 267 НК РФ).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Таким образом</w:t>
      </w:r>
      <w:r>
        <w:t xml:space="preserve">, </w:t>
      </w:r>
      <w:r w:rsidRPr="00C53AAA">
        <w:t>в учетной политике</w:t>
      </w:r>
      <w:r>
        <w:t xml:space="preserve">, </w:t>
      </w:r>
      <w:r w:rsidRPr="00C53AAA">
        <w:t>во-первых</w:t>
      </w:r>
      <w:r>
        <w:t xml:space="preserve">, </w:t>
      </w:r>
      <w:r w:rsidRPr="00C53AAA">
        <w:t>должен быть зафиксирован факт создания резервов</w:t>
      </w:r>
      <w:r>
        <w:t xml:space="preserve">, </w:t>
      </w:r>
      <w:r w:rsidRPr="00C53AAA">
        <w:t>во-вторых</w:t>
      </w:r>
      <w:r>
        <w:t xml:space="preserve">, </w:t>
      </w:r>
      <w:r w:rsidRPr="00C53AAA">
        <w:t xml:space="preserve">особенности их формирования.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В отношении резерва по сомнительным долгам целесообразно указать виды задолженности</w:t>
      </w:r>
      <w:r>
        <w:t xml:space="preserve">, </w:t>
      </w:r>
      <w:r w:rsidRPr="00C53AAA">
        <w:t>суммовые или временные критерии</w:t>
      </w:r>
      <w:r>
        <w:t xml:space="preserve">, </w:t>
      </w:r>
      <w:r w:rsidRPr="00C53AAA">
        <w:t>по которым создается резерв</w:t>
      </w:r>
      <w:r>
        <w:t xml:space="preserve">, </w:t>
      </w:r>
      <w:r w:rsidRPr="00C53AAA">
        <w:t>его размер (в процентах от выручки</w:t>
      </w:r>
      <w:r>
        <w:t xml:space="preserve">, </w:t>
      </w:r>
      <w:r w:rsidRPr="00C53AAA">
        <w:t xml:space="preserve">т. к. норматив установлен в процентах от выручки).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По «трудовым» резервам необходимо определить</w:t>
      </w:r>
      <w:r>
        <w:t xml:space="preserve">, </w:t>
      </w:r>
      <w:r w:rsidRPr="00C53AAA">
        <w:t>на что конкретно создается резерв (на отпуска или вознаграждения)</w:t>
      </w:r>
      <w:r>
        <w:t xml:space="preserve">, </w:t>
      </w:r>
      <w:r w:rsidRPr="00C53AAA">
        <w:t xml:space="preserve">обозначить предельную сумму отчислений и ежемесячный процент отчислений в указанный резерв.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Нормы</w:t>
      </w:r>
      <w:r>
        <w:t xml:space="preserve">, </w:t>
      </w:r>
      <w:r w:rsidRPr="00C53AAA">
        <w:t>касающиеся резерва по гарантийному обслуживанию</w:t>
      </w:r>
      <w:r>
        <w:t xml:space="preserve">, </w:t>
      </w:r>
      <w:r w:rsidRPr="00C53AAA">
        <w:t xml:space="preserve">должны содержать информацию о предельном размере отчислений в этот резерв.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Учет доходов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выбор метода определения доходов и расходов (кассовый метод или метод начисления).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Для этого требуется</w:t>
      </w:r>
      <w:r>
        <w:t xml:space="preserve">, </w:t>
      </w:r>
      <w:r w:rsidRPr="00C53AAA">
        <w:t>в первую очередь</w:t>
      </w:r>
      <w:r>
        <w:t xml:space="preserve">, </w:t>
      </w:r>
      <w:r w:rsidRPr="00C53AAA">
        <w:t>учесть норматив выручки</w:t>
      </w:r>
      <w:r>
        <w:t xml:space="preserve">, </w:t>
      </w:r>
      <w:r w:rsidRPr="00C53AAA">
        <w:t>установленный законодательством. Налогоплательщик может выбирать метод</w:t>
      </w:r>
      <w:r>
        <w:t xml:space="preserve">, </w:t>
      </w:r>
      <w:r w:rsidRPr="00C53AAA">
        <w:t>если средняя сумма его выручки (без НДС) за предыдущие четыре квартала не превышала 1 млн руб. за каждый квартал.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порядок распределения доходов</w:t>
      </w:r>
      <w:r>
        <w:t xml:space="preserve">, </w:t>
      </w:r>
      <w:r w:rsidRPr="00C53AAA">
        <w:t>относящихся к нескольким отчетным (налоговым) периодам</w:t>
      </w:r>
      <w:r>
        <w:t xml:space="preserve">, </w:t>
      </w:r>
      <w:r w:rsidRPr="00C53AAA">
        <w:t>а также в случае</w:t>
      </w:r>
      <w:r>
        <w:t xml:space="preserve">, </w:t>
      </w:r>
      <w:r w:rsidRPr="00C53AAA">
        <w:t xml:space="preserve">если связь между доходами и расходами не может быть обозначена четко или устанавливается косвенным путем;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порядок исчисления налога на прибыль при наличии обособленных подразделений.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В целях конкретизации долей прибыли</w:t>
      </w:r>
      <w:r>
        <w:t xml:space="preserve">, </w:t>
      </w:r>
      <w:r w:rsidRPr="00C53AAA">
        <w:t>приходящихся на обособленные подразделения</w:t>
      </w:r>
      <w:r>
        <w:t xml:space="preserve">, </w:t>
      </w:r>
      <w:r w:rsidRPr="00C53AAA">
        <w:t>налогоплательщик должен выбрать</w:t>
      </w:r>
      <w:r>
        <w:t xml:space="preserve">, </w:t>
      </w:r>
      <w:r w:rsidRPr="00C53AAA">
        <w:t xml:space="preserve">какой из показателей будет применяться – среднесписочная численность работников или сумма расходов на оплату труда. Выбранный показатель должен быть неизменным в течение налогового периода.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НДС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применяется ли право на освобождение от исполнения обязанностей налогоплательщика</w:t>
      </w:r>
      <w:r>
        <w:t xml:space="preserve">, </w:t>
      </w:r>
      <w:r w:rsidRPr="00C53AAA">
        <w:t>связанных с исчислением и уплатой налога. На такое освобождение согласно ст. 145 НК РФ имеют право налогоплательщики</w:t>
      </w:r>
      <w:r>
        <w:t xml:space="preserve">, </w:t>
      </w:r>
      <w:r w:rsidRPr="00C53AAA">
        <w:t>у которых за три предшествующих последовательных календарных месяца сумма выручки от реализации товаров (выполнения работ</w:t>
      </w:r>
      <w:r>
        <w:t xml:space="preserve">, </w:t>
      </w:r>
      <w:r w:rsidRPr="00C53AAA">
        <w:t xml:space="preserve">оказания услуг) без учета налога не превысила в совокупности 2 млн руб.;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порядок отнесения сумм налога к вычету в случае осуществления облагаемых и необлагаемых операций.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Налогоплательщик должен разработать и описать в учетной политике порядок расчета пропорции</w:t>
      </w:r>
      <w:r>
        <w:t xml:space="preserve">, </w:t>
      </w:r>
      <w:r w:rsidRPr="00C53AAA">
        <w:t>в которой суммы «входного» НДС будут учитываться по операциям</w:t>
      </w:r>
      <w:r>
        <w:t xml:space="preserve">, </w:t>
      </w:r>
      <w:r w:rsidRPr="00C53AAA">
        <w:t>как облагаемым налогом</w:t>
      </w:r>
      <w:r>
        <w:t xml:space="preserve">, </w:t>
      </w:r>
      <w:r w:rsidRPr="00C53AAA">
        <w:t>так и не подлежащим налогообложению (освобожденным от налогообложения).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способы ведения раздельного учета (облагаемых и не облагаемых НДС операций</w:t>
      </w:r>
      <w:r>
        <w:t xml:space="preserve">, </w:t>
      </w:r>
      <w:r w:rsidRPr="00C53AAA">
        <w:t>а также операций</w:t>
      </w:r>
      <w:r>
        <w:t xml:space="preserve">, </w:t>
      </w:r>
      <w:r w:rsidRPr="00C53AAA">
        <w:t xml:space="preserve">облагаемых по ставкам 18 и 0%);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>особенности исчисления и уплаты НДС в случае</w:t>
      </w:r>
      <w:r>
        <w:t xml:space="preserve">, </w:t>
      </w:r>
      <w:r w:rsidRPr="00C53AAA">
        <w:t>когда организация имеет обособленные подразделения</w:t>
      </w:r>
      <w:r>
        <w:t xml:space="preserve">, </w:t>
      </w:r>
      <w:r w:rsidRPr="00C53AAA">
        <w:t xml:space="preserve">выделенные на самостоятельный баланс. </w:t>
      </w:r>
    </w:p>
    <w:p w:rsidR="005C7EB3" w:rsidRPr="00C53AAA" w:rsidRDefault="005C7EB3" w:rsidP="005C7EB3">
      <w:pPr>
        <w:spacing w:before="120"/>
        <w:ind w:firstLine="567"/>
        <w:jc w:val="both"/>
      </w:pPr>
      <w:r w:rsidRPr="00C53AAA">
        <w:t xml:space="preserve">Источник www.buhgalteria.ru 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EB3"/>
    <w:rsid w:val="00084649"/>
    <w:rsid w:val="001A35F6"/>
    <w:rsid w:val="005C7EB3"/>
    <w:rsid w:val="00811DD4"/>
    <w:rsid w:val="00BC4472"/>
    <w:rsid w:val="00C53AAA"/>
    <w:rsid w:val="00D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C59D08-B1F9-4DF4-A9C8-BD89D016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7E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1446</Words>
  <Characters>8247</Characters>
  <Application>Microsoft Office Word</Application>
  <DocSecurity>0</DocSecurity>
  <Lines>68</Lines>
  <Paragraphs>19</Paragraphs>
  <ScaleCrop>false</ScaleCrop>
  <Company>Home</Company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организовать налоговый учет на предприятии</dc:title>
  <dc:subject/>
  <dc:creator>User</dc:creator>
  <cp:keywords/>
  <dc:description/>
  <cp:lastModifiedBy>Irina</cp:lastModifiedBy>
  <cp:revision>2</cp:revision>
  <dcterms:created xsi:type="dcterms:W3CDTF">2014-07-19T05:07:00Z</dcterms:created>
  <dcterms:modified xsi:type="dcterms:W3CDTF">2014-07-19T05:07:00Z</dcterms:modified>
</cp:coreProperties>
</file>