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03" w:rsidRPr="0015281C" w:rsidRDefault="00A45603" w:rsidP="00A45603">
      <w:pPr>
        <w:spacing w:before="120"/>
        <w:jc w:val="center"/>
        <w:rPr>
          <w:b/>
          <w:sz w:val="32"/>
        </w:rPr>
      </w:pPr>
      <w:r w:rsidRPr="0015281C">
        <w:rPr>
          <w:b/>
          <w:sz w:val="32"/>
        </w:rPr>
        <w:t>Как убрать из баланса "безвозвратный" заем</w:t>
      </w:r>
    </w:p>
    <w:p w:rsidR="00A45603" w:rsidRPr="0015281C" w:rsidRDefault="00A45603" w:rsidP="00A45603">
      <w:pPr>
        <w:spacing w:before="120"/>
        <w:jc w:val="center"/>
        <w:rPr>
          <w:sz w:val="28"/>
        </w:rPr>
      </w:pPr>
      <w:r w:rsidRPr="0015281C">
        <w:rPr>
          <w:sz w:val="28"/>
        </w:rPr>
        <w:t>Мацепуро Н.Э Журнал "Главная книга" № 14/2012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Бывает</w:t>
      </w:r>
      <w:r>
        <w:t xml:space="preserve">, </w:t>
      </w:r>
      <w:r w:rsidRPr="00210EC7">
        <w:t>что компании (ООО) срочно нужны деньги и их дает участник или иное аффилированное лицо. Второпях оформляется договор беспроцентного займа</w:t>
      </w:r>
      <w:r>
        <w:t xml:space="preserve">, </w:t>
      </w:r>
      <w:r w:rsidRPr="00210EC7">
        <w:t>хотя может быть изначально известно</w:t>
      </w:r>
      <w:r>
        <w:t xml:space="preserve">, </w:t>
      </w:r>
      <w:r w:rsidRPr="00210EC7">
        <w:t>что эти деньги возвращать будет не нужно. Потом бухгалтер вынужден ломать голову</w:t>
      </w:r>
      <w:r>
        <w:t xml:space="preserve">, </w:t>
      </w:r>
      <w:r w:rsidRPr="00210EC7">
        <w:t>как из баланса ООО убрать эту "зависшую" кредиторскую задолженность с наименьшими потерями. Рассмотрим все возможные варианты действий в зависимости от того</w:t>
      </w:r>
      <w:r>
        <w:t xml:space="preserve">, </w:t>
      </w:r>
      <w:r w:rsidRPr="00210EC7">
        <w:t>кем вам приходится заимодавец</w:t>
      </w:r>
      <w:r>
        <w:t xml:space="preserve">, </w:t>
      </w:r>
      <w:r w:rsidRPr="00210EC7">
        <w:t>и выберем лучший. Заметим</w:t>
      </w:r>
      <w:r>
        <w:t xml:space="preserve">, </w:t>
      </w:r>
      <w:r w:rsidRPr="00210EC7">
        <w:t>что все варианты применимы как для общережимников</w:t>
      </w:r>
      <w:r>
        <w:t xml:space="preserve">, </w:t>
      </w:r>
      <w:r w:rsidRPr="00210EC7">
        <w:t xml:space="preserve">так и для упрощенцев.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Заимодавец</w:t>
      </w:r>
      <w:r>
        <w:t xml:space="preserve"> - </w:t>
      </w:r>
      <w:r w:rsidRPr="00210EC7">
        <w:t xml:space="preserve">ваш участник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Вариант 1. Увеличение чистых активов.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Такой вариант возможен</w:t>
      </w:r>
      <w:r>
        <w:t xml:space="preserve">, </w:t>
      </w:r>
      <w:r w:rsidRPr="00210EC7">
        <w:t>если заимодавец</w:t>
      </w:r>
      <w:r>
        <w:t xml:space="preserve"> - </w:t>
      </w:r>
      <w:r w:rsidRPr="00210EC7">
        <w:t xml:space="preserve">участник вашей компании с любой долей.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Участник принимает решение об увеличении чистых активов компании путем прекращения ее обязательства перед ним по возврату займа. Когда участник один</w:t>
      </w:r>
      <w:r>
        <w:t xml:space="preserve">, </w:t>
      </w:r>
      <w:r w:rsidRPr="00210EC7">
        <w:t>то это можно оформить решением</w:t>
      </w:r>
      <w:r>
        <w:t xml:space="preserve">, </w:t>
      </w:r>
      <w:r w:rsidRPr="00210EC7">
        <w:t>а если не один</w:t>
      </w:r>
      <w:r>
        <w:t xml:space="preserve"> - </w:t>
      </w:r>
      <w:r w:rsidRPr="00210EC7">
        <w:t xml:space="preserve">просто заявлением от имени участника. Погасить таким способом можно любую сумму займа.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Эта операция не приводит к возникновению ни налоговых</w:t>
      </w:r>
      <w:r>
        <w:t xml:space="preserve">, </w:t>
      </w:r>
      <w:r w:rsidRPr="00210EC7">
        <w:t>ни бухгалтерских доходов</w:t>
      </w:r>
      <w:r>
        <w:t xml:space="preserve"> </w:t>
      </w:r>
      <w:r w:rsidRPr="00210EC7">
        <w:t xml:space="preserve">&lt;1&gt;. А отразить ее можно следующей проводкой.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2844"/>
        <w:gridCol w:w="2992"/>
      </w:tblGrid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Содержание операции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Дт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Кт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Увеличен добавочный </w:t>
            </w:r>
          </w:p>
          <w:p w:rsidR="00A45603" w:rsidRPr="00210EC7" w:rsidRDefault="00A45603" w:rsidP="00F91D5E">
            <w:r w:rsidRPr="00210EC7">
              <w:t>капитал за счет погашения</w:t>
            </w:r>
          </w:p>
          <w:p w:rsidR="00A45603" w:rsidRPr="00210EC7" w:rsidRDefault="00A45603" w:rsidP="00F91D5E">
            <w:r w:rsidRPr="00210EC7">
              <w:t xml:space="preserve">задолженности по займу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66 "Расчеты по </w:t>
            </w:r>
          </w:p>
          <w:p w:rsidR="00A45603" w:rsidRPr="00210EC7" w:rsidRDefault="00A45603" w:rsidP="00F91D5E">
            <w:r w:rsidRPr="00210EC7">
              <w:t xml:space="preserve">краткосрочным </w:t>
            </w:r>
          </w:p>
          <w:p w:rsidR="00A45603" w:rsidRPr="00210EC7" w:rsidRDefault="00A45603" w:rsidP="00F91D5E">
            <w:r w:rsidRPr="00210EC7">
              <w:t>кредитам и займам"</w:t>
            </w:r>
          </w:p>
          <w:p w:rsidR="00A45603" w:rsidRPr="00210EC7" w:rsidRDefault="00A45603" w:rsidP="00F91D5E">
            <w:r w:rsidRPr="00210EC7">
              <w:t xml:space="preserve">(67 "Расчеты по </w:t>
            </w:r>
          </w:p>
          <w:p w:rsidR="00A45603" w:rsidRPr="00210EC7" w:rsidRDefault="00A45603" w:rsidP="00F91D5E">
            <w:r w:rsidRPr="00210EC7">
              <w:t xml:space="preserve">долгосрочным </w:t>
            </w:r>
          </w:p>
          <w:p w:rsidR="00A45603" w:rsidRPr="00210EC7" w:rsidRDefault="00A45603" w:rsidP="00F91D5E">
            <w:r w:rsidRPr="00210EC7">
              <w:t xml:space="preserve">кредитам и </w:t>
            </w:r>
          </w:p>
          <w:p w:rsidR="00A45603" w:rsidRPr="00210EC7" w:rsidRDefault="00A45603" w:rsidP="00F91D5E">
            <w:r w:rsidRPr="00210EC7">
              <w:t xml:space="preserve">займам")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83 "Добавочный </w:t>
            </w:r>
          </w:p>
          <w:p w:rsidR="00A45603" w:rsidRPr="00210EC7" w:rsidRDefault="00A45603" w:rsidP="00F91D5E">
            <w:r w:rsidRPr="00210EC7">
              <w:t xml:space="preserve">капитал" </w:t>
            </w:r>
          </w:p>
        </w:tc>
      </w:tr>
    </w:tbl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Вариант 2. Вклад в имущество.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Этот альтернативный вариант применим</w:t>
      </w:r>
      <w:r>
        <w:t xml:space="preserve">, </w:t>
      </w:r>
      <w:r w:rsidRPr="00210EC7">
        <w:t xml:space="preserve">если: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- устав ООО предусматривает обязанность участников вносить вклады</w:t>
      </w:r>
      <w:r>
        <w:t xml:space="preserve"> </w:t>
      </w:r>
      <w:r w:rsidRPr="00210EC7">
        <w:t xml:space="preserve">&lt;2&gt;;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- заимодавец</w:t>
      </w:r>
      <w:r>
        <w:t xml:space="preserve"> - </w:t>
      </w:r>
      <w:r w:rsidRPr="00210EC7">
        <w:t>участник с долей более 50%. Причем поскольку вклады должны вносить все участники (пропорционально их долям)</w:t>
      </w:r>
      <w:r>
        <w:t xml:space="preserve">, </w:t>
      </w:r>
      <w:r w:rsidRPr="00210EC7">
        <w:t>то этот вариант больше подходит тем компаниям</w:t>
      </w:r>
      <w:r>
        <w:t xml:space="preserve">, </w:t>
      </w:r>
      <w:r w:rsidRPr="00210EC7">
        <w:t xml:space="preserve">в которых всего один участник.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При таком способе участник на основании своего решения вносит вам деньги в качестве вклада в имущество вашей компании. А вы возвращаете их ему в счет погашения займа. Сделать это можно и через кассу. Ведь ограничения по расходованию денег из кассы установлены исключительно для выручки от продажи товаров (работ</w:t>
      </w:r>
      <w:r>
        <w:t xml:space="preserve">, </w:t>
      </w:r>
      <w:r w:rsidRPr="00210EC7">
        <w:t>услуг)</w:t>
      </w:r>
      <w:r>
        <w:t xml:space="preserve"> </w:t>
      </w:r>
      <w:r w:rsidRPr="00210EC7">
        <w:t>&lt;3&gt;. В нашем случае расходуется не выручка</w:t>
      </w:r>
      <w:r>
        <w:t xml:space="preserve">, </w:t>
      </w:r>
      <w:r w:rsidRPr="00210EC7">
        <w:t>а финансовая помощь участника</w:t>
      </w:r>
      <w:r>
        <w:t xml:space="preserve">, </w:t>
      </w:r>
      <w:r w:rsidRPr="00210EC7">
        <w:t xml:space="preserve">поэтому ее можно тратить из кассы на любые цели.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Но помните</w:t>
      </w:r>
      <w:r>
        <w:t xml:space="preserve">, </w:t>
      </w:r>
      <w:r w:rsidRPr="00210EC7">
        <w:t>если участник</w:t>
      </w:r>
      <w:r>
        <w:t xml:space="preserve"> - </w:t>
      </w:r>
      <w:r w:rsidRPr="00210EC7">
        <w:t>организация</w:t>
      </w:r>
      <w:r>
        <w:t xml:space="preserve">, </w:t>
      </w:r>
      <w:r w:rsidRPr="00210EC7">
        <w:t>то наличными из кассы по одному договору займа можно вернуть не более 100</w:t>
      </w:r>
      <w:r>
        <w:t xml:space="preserve"> </w:t>
      </w:r>
      <w:r w:rsidRPr="00210EC7">
        <w:t>000</w:t>
      </w:r>
      <w:r>
        <w:t xml:space="preserve"> </w:t>
      </w:r>
      <w:r w:rsidRPr="00210EC7">
        <w:t>руб.</w:t>
      </w:r>
      <w:r>
        <w:t xml:space="preserve"> </w:t>
      </w:r>
      <w:r w:rsidRPr="00210EC7">
        <w:t xml:space="preserve">&lt;4&gt; При большей сумме займа расчеты придется проводить через расчетный счет и платить банку комиссию за взнос и снятие наличных.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Сумма вклада мажоритарного участника с долей более 50% не увеличивает базу по налогу на прибыль</w:t>
      </w:r>
      <w:r>
        <w:t xml:space="preserve"> </w:t>
      </w:r>
      <w:r w:rsidRPr="00210EC7">
        <w:t xml:space="preserve">&lt;5&gt;. Получение финансовой помощи и возврат займа оформите такими проводками.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2844"/>
        <w:gridCol w:w="2992"/>
      </w:tblGrid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Содержание операции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Дт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Кт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Получены деньги от </w:t>
            </w:r>
          </w:p>
          <w:p w:rsidR="00A45603" w:rsidRPr="00210EC7" w:rsidRDefault="00A45603" w:rsidP="00F91D5E">
            <w:r w:rsidRPr="00210EC7">
              <w:t xml:space="preserve">участника в качестве </w:t>
            </w:r>
          </w:p>
          <w:p w:rsidR="00A45603" w:rsidRPr="00210EC7" w:rsidRDefault="00A45603" w:rsidP="00F91D5E">
            <w:r w:rsidRPr="00210EC7">
              <w:t xml:space="preserve">вклада в имущество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50 "Касса </w:t>
            </w:r>
          </w:p>
          <w:p w:rsidR="00A45603" w:rsidRPr="00210EC7" w:rsidRDefault="00A45603" w:rsidP="00F91D5E">
            <w:r w:rsidRPr="00210EC7">
              <w:t xml:space="preserve">организации" (51 </w:t>
            </w:r>
          </w:p>
          <w:p w:rsidR="00A45603" w:rsidRPr="00210EC7" w:rsidRDefault="00A45603" w:rsidP="00F91D5E">
            <w:r w:rsidRPr="00210EC7">
              <w:t xml:space="preserve">"Расчетные счета")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75 "Расчеты с </w:t>
            </w:r>
          </w:p>
          <w:p w:rsidR="00A45603" w:rsidRPr="00210EC7" w:rsidRDefault="00A45603" w:rsidP="00F91D5E">
            <w:r w:rsidRPr="00210EC7">
              <w:t>учредителями"</w:t>
            </w:r>
            <w:r>
              <w:t xml:space="preserve">, </w:t>
            </w:r>
          </w:p>
          <w:p w:rsidR="00A45603" w:rsidRPr="00210EC7" w:rsidRDefault="00A45603" w:rsidP="00F91D5E">
            <w:r w:rsidRPr="00210EC7">
              <w:t>субсчет "Расчеты по</w:t>
            </w:r>
          </w:p>
          <w:p w:rsidR="00A45603" w:rsidRPr="00210EC7" w:rsidRDefault="00A45603" w:rsidP="00F91D5E">
            <w:r w:rsidRPr="00210EC7">
              <w:t xml:space="preserve">внесению вкладов в </w:t>
            </w:r>
          </w:p>
          <w:p w:rsidR="00A45603" w:rsidRPr="00210EC7" w:rsidRDefault="00A45603" w:rsidP="00F91D5E">
            <w:r w:rsidRPr="00210EC7">
              <w:t xml:space="preserve">имущество"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>Отражен вклад участника в</w:t>
            </w:r>
          </w:p>
          <w:p w:rsidR="00A45603" w:rsidRPr="00210EC7" w:rsidRDefault="00A45603" w:rsidP="00F91D5E">
            <w:r w:rsidRPr="00210EC7">
              <w:t xml:space="preserve">имущество общества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75 "Расчеты с </w:t>
            </w:r>
          </w:p>
          <w:p w:rsidR="00A45603" w:rsidRPr="00210EC7" w:rsidRDefault="00A45603" w:rsidP="00F91D5E">
            <w:r w:rsidRPr="00210EC7">
              <w:t>учредителями"</w:t>
            </w:r>
            <w:r>
              <w:t xml:space="preserve">, </w:t>
            </w:r>
          </w:p>
          <w:p w:rsidR="00A45603" w:rsidRPr="00210EC7" w:rsidRDefault="00A45603" w:rsidP="00F91D5E">
            <w:r w:rsidRPr="00210EC7">
              <w:t xml:space="preserve">субсчет "Расчеты </w:t>
            </w:r>
          </w:p>
          <w:p w:rsidR="00A45603" w:rsidRPr="00210EC7" w:rsidRDefault="00A45603" w:rsidP="00F91D5E">
            <w:r w:rsidRPr="00210EC7">
              <w:t xml:space="preserve">по внесению </w:t>
            </w:r>
          </w:p>
          <w:p w:rsidR="00A45603" w:rsidRPr="00210EC7" w:rsidRDefault="00A45603" w:rsidP="00F91D5E">
            <w:r w:rsidRPr="00210EC7">
              <w:t xml:space="preserve">вкладов в </w:t>
            </w:r>
          </w:p>
          <w:p w:rsidR="00A45603" w:rsidRPr="00210EC7" w:rsidRDefault="00A45603" w:rsidP="00F91D5E">
            <w:r w:rsidRPr="00210EC7">
              <w:t xml:space="preserve">имущество"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83 "Добавочный </w:t>
            </w:r>
          </w:p>
          <w:p w:rsidR="00A45603" w:rsidRPr="00210EC7" w:rsidRDefault="00A45603" w:rsidP="00F91D5E">
            <w:r w:rsidRPr="00210EC7">
              <w:t xml:space="preserve">капитал"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Возвращен заем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66 "Расчеты по </w:t>
            </w:r>
          </w:p>
          <w:p w:rsidR="00A45603" w:rsidRPr="00210EC7" w:rsidRDefault="00A45603" w:rsidP="00F91D5E">
            <w:r w:rsidRPr="00210EC7">
              <w:t xml:space="preserve">краткосрочным </w:t>
            </w:r>
          </w:p>
          <w:p w:rsidR="00A45603" w:rsidRPr="00210EC7" w:rsidRDefault="00A45603" w:rsidP="00F91D5E">
            <w:r w:rsidRPr="00210EC7">
              <w:t>кредитам и займам"</w:t>
            </w:r>
          </w:p>
          <w:p w:rsidR="00A45603" w:rsidRPr="00210EC7" w:rsidRDefault="00A45603" w:rsidP="00F91D5E">
            <w:r w:rsidRPr="00210EC7">
              <w:t xml:space="preserve">(67 "Расчеты по </w:t>
            </w:r>
          </w:p>
          <w:p w:rsidR="00A45603" w:rsidRPr="00210EC7" w:rsidRDefault="00A45603" w:rsidP="00F91D5E">
            <w:r w:rsidRPr="00210EC7">
              <w:t xml:space="preserve">долгосрочным </w:t>
            </w:r>
          </w:p>
          <w:p w:rsidR="00A45603" w:rsidRPr="00210EC7" w:rsidRDefault="00A45603" w:rsidP="00F91D5E">
            <w:r w:rsidRPr="00210EC7">
              <w:t xml:space="preserve">кредитам и </w:t>
            </w:r>
          </w:p>
          <w:p w:rsidR="00A45603" w:rsidRPr="00210EC7" w:rsidRDefault="00A45603" w:rsidP="00F91D5E">
            <w:r w:rsidRPr="00210EC7">
              <w:t xml:space="preserve">займам")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50 "Касса </w:t>
            </w:r>
          </w:p>
          <w:p w:rsidR="00A45603" w:rsidRPr="00210EC7" w:rsidRDefault="00A45603" w:rsidP="00F91D5E">
            <w:r w:rsidRPr="00210EC7">
              <w:t xml:space="preserve">организации" (51 </w:t>
            </w:r>
          </w:p>
          <w:p w:rsidR="00A45603" w:rsidRPr="00210EC7" w:rsidRDefault="00A45603" w:rsidP="00F91D5E">
            <w:r w:rsidRPr="00210EC7">
              <w:t xml:space="preserve">"Расчетные счета") </w:t>
            </w:r>
          </w:p>
        </w:tc>
      </w:tr>
    </w:tbl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Вариант 3. Увеличение уставного капитала.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Такой способ подходит</w:t>
      </w:r>
      <w:r>
        <w:t xml:space="preserve">, </w:t>
      </w:r>
      <w:r w:rsidRPr="00210EC7">
        <w:t>если заимодавец</w:t>
      </w:r>
      <w:r>
        <w:t xml:space="preserve"> - </w:t>
      </w:r>
      <w:r w:rsidRPr="00210EC7">
        <w:t>единственный участник компании. Он может принять решение об увеличении уставного капитала путем зачета права требования к компании по договору займа в счет внесения дополнительного вклада</w:t>
      </w:r>
      <w:r>
        <w:t xml:space="preserve"> </w:t>
      </w:r>
      <w:r w:rsidRPr="00210EC7">
        <w:t xml:space="preserve">&lt;6&gt;.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Если же участников несколько</w:t>
      </w:r>
      <w:r>
        <w:t xml:space="preserve">, </w:t>
      </w:r>
      <w:r w:rsidRPr="00210EC7">
        <w:t>то реализовать такой вариант будет намного сложнее. Ведь решение об увеличении уставного капитала принимается участниками на их общем собрании</w:t>
      </w:r>
      <w:r>
        <w:t xml:space="preserve">, </w:t>
      </w:r>
      <w:r w:rsidRPr="00210EC7">
        <w:t>и одновременно они должны решить вопрос о размере их долей и доли участника-заимодавца. В частности</w:t>
      </w:r>
      <w:r>
        <w:t xml:space="preserve">, </w:t>
      </w:r>
      <w:r w:rsidRPr="00210EC7">
        <w:t>они могут</w:t>
      </w:r>
      <w:r>
        <w:t xml:space="preserve"> </w:t>
      </w:r>
      <w:r w:rsidRPr="00210EC7">
        <w:t xml:space="preserve">&lt;7&gt;: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&lt;или&gt; согласиться (единогласно)</w:t>
      </w:r>
      <w:r>
        <w:t xml:space="preserve">, </w:t>
      </w:r>
      <w:r w:rsidRPr="00210EC7">
        <w:t>что за счет дополнительного вклада у участника-заимодавца увеличится размер доли (и ее номинальная стоимость)</w:t>
      </w:r>
      <w:r>
        <w:t xml:space="preserve">, </w:t>
      </w:r>
      <w:r w:rsidRPr="00210EC7">
        <w:t xml:space="preserve">а размеры их долей уменьшатся;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&lt;или&gt; также внести дополнительные вклады в уставный капитал</w:t>
      </w:r>
      <w:r>
        <w:t xml:space="preserve">, </w:t>
      </w:r>
      <w:r w:rsidRPr="00210EC7">
        <w:t>чтобы у всех участников увеличилась номинальная стоимость доли</w:t>
      </w:r>
      <w:r>
        <w:t xml:space="preserve">, </w:t>
      </w:r>
      <w:r w:rsidRPr="00210EC7">
        <w:t xml:space="preserve">а ее размер остался прежним (для такого решения необходимо не менее 2/3 голосов).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Увеличение уставного капитала подлежит госрегистрации</w:t>
      </w:r>
      <w:r>
        <w:t xml:space="preserve">, </w:t>
      </w:r>
      <w:r w:rsidRPr="00210EC7">
        <w:t>а потому это самый трудоемкий вариант. К тому же еще и не бесплатный</w:t>
      </w:r>
      <w:r>
        <w:t xml:space="preserve">, </w:t>
      </w:r>
      <w:r w:rsidRPr="00210EC7">
        <w:t>ведь придется уплатить госпошлину</w:t>
      </w:r>
      <w:r>
        <w:t xml:space="preserve"> </w:t>
      </w:r>
      <w:r w:rsidRPr="00210EC7">
        <w:t xml:space="preserve">&lt;8&gt;.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Примечание. Плюсы в рассматриваемом варианте есть лишь для участников (будь то компания или физлицо)</w:t>
      </w:r>
      <w:r>
        <w:t xml:space="preserve">, </w:t>
      </w:r>
      <w:r w:rsidRPr="00210EC7">
        <w:t>которые впоследствии планируют продать свою долю. Доходы от ее продажи они смогут уменьшить на расходы по внесению вклада в уставный капитал и на его увеличение</w:t>
      </w:r>
      <w:r>
        <w:t xml:space="preserve"> </w:t>
      </w:r>
      <w:r w:rsidRPr="00210EC7">
        <w:t xml:space="preserve">&lt;9&gt;. Уменьшить же доходы от продажи доли на расходы по увеличению чистых активов компании или по внесению вкладов в ее имущество (варианты 1 и 2) нельзя.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Вклады участников в уставный капитал не учитываются для целей налогообложения</w:t>
      </w:r>
      <w:r>
        <w:t xml:space="preserve"> </w:t>
      </w:r>
      <w:r w:rsidRPr="00210EC7">
        <w:t>&lt;10&gt;. В бухгалтерском учете эта операция отражается на дату госрегистрации внесения изменений в устав.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2844"/>
        <w:gridCol w:w="2992"/>
      </w:tblGrid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Содержание операции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Дт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Кт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Отражена задолженность </w:t>
            </w:r>
          </w:p>
          <w:p w:rsidR="00A45603" w:rsidRPr="00210EC7" w:rsidRDefault="00A45603" w:rsidP="00F91D5E">
            <w:r w:rsidRPr="00210EC7">
              <w:t xml:space="preserve">участника по внесению </w:t>
            </w:r>
          </w:p>
          <w:p w:rsidR="00A45603" w:rsidRPr="00210EC7" w:rsidRDefault="00A45603" w:rsidP="00F91D5E">
            <w:r w:rsidRPr="00210EC7">
              <w:t xml:space="preserve">вклада в уставный капитал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75-1 "Расчеты по </w:t>
            </w:r>
          </w:p>
          <w:p w:rsidR="00A45603" w:rsidRPr="00210EC7" w:rsidRDefault="00A45603" w:rsidP="00F91D5E">
            <w:r w:rsidRPr="00210EC7">
              <w:t>вкладам в уставный</w:t>
            </w:r>
          </w:p>
          <w:p w:rsidR="00A45603" w:rsidRPr="00210EC7" w:rsidRDefault="00A45603" w:rsidP="00F91D5E">
            <w:r w:rsidRPr="00210EC7">
              <w:t xml:space="preserve">(складочный) </w:t>
            </w:r>
          </w:p>
          <w:p w:rsidR="00A45603" w:rsidRPr="00210EC7" w:rsidRDefault="00A45603" w:rsidP="00F91D5E">
            <w:r w:rsidRPr="00210EC7">
              <w:t xml:space="preserve">капитал"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80 "Уставный </w:t>
            </w:r>
          </w:p>
          <w:p w:rsidR="00A45603" w:rsidRPr="00210EC7" w:rsidRDefault="00A45603" w:rsidP="00F91D5E">
            <w:r w:rsidRPr="00210EC7">
              <w:t xml:space="preserve">капитал"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Произведен зачет права </w:t>
            </w:r>
          </w:p>
          <w:p w:rsidR="00A45603" w:rsidRPr="00210EC7" w:rsidRDefault="00A45603" w:rsidP="00F91D5E">
            <w:r w:rsidRPr="00210EC7">
              <w:t xml:space="preserve">требования участника по </w:t>
            </w:r>
          </w:p>
          <w:p w:rsidR="00A45603" w:rsidRPr="00210EC7" w:rsidRDefault="00A45603" w:rsidP="00F91D5E">
            <w:r w:rsidRPr="00210EC7">
              <w:t xml:space="preserve">договору займа в счет </w:t>
            </w:r>
          </w:p>
          <w:p w:rsidR="00A45603" w:rsidRPr="00210EC7" w:rsidRDefault="00A45603" w:rsidP="00F91D5E">
            <w:r w:rsidRPr="00210EC7">
              <w:t xml:space="preserve">внесения им вклада в </w:t>
            </w:r>
          </w:p>
          <w:p w:rsidR="00A45603" w:rsidRPr="00210EC7" w:rsidRDefault="00A45603" w:rsidP="00F91D5E">
            <w:r w:rsidRPr="00210EC7">
              <w:t xml:space="preserve">уставный капитал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66 "Расчеты по </w:t>
            </w:r>
          </w:p>
          <w:p w:rsidR="00A45603" w:rsidRPr="00210EC7" w:rsidRDefault="00A45603" w:rsidP="00F91D5E">
            <w:r w:rsidRPr="00210EC7">
              <w:t xml:space="preserve">краткосрочным </w:t>
            </w:r>
          </w:p>
          <w:p w:rsidR="00A45603" w:rsidRPr="00210EC7" w:rsidRDefault="00A45603" w:rsidP="00F91D5E">
            <w:r w:rsidRPr="00210EC7">
              <w:t>кредитам и займам"</w:t>
            </w:r>
          </w:p>
          <w:p w:rsidR="00A45603" w:rsidRPr="00210EC7" w:rsidRDefault="00A45603" w:rsidP="00F91D5E">
            <w:r w:rsidRPr="00210EC7">
              <w:t xml:space="preserve">(67 "Расчеты по </w:t>
            </w:r>
          </w:p>
          <w:p w:rsidR="00A45603" w:rsidRPr="00210EC7" w:rsidRDefault="00A45603" w:rsidP="00F91D5E">
            <w:r w:rsidRPr="00210EC7">
              <w:t xml:space="preserve">долгосрочным </w:t>
            </w:r>
          </w:p>
          <w:p w:rsidR="00A45603" w:rsidRPr="00210EC7" w:rsidRDefault="00A45603" w:rsidP="00F91D5E">
            <w:r w:rsidRPr="00210EC7">
              <w:t xml:space="preserve">кредитам и </w:t>
            </w:r>
          </w:p>
          <w:p w:rsidR="00A45603" w:rsidRPr="00210EC7" w:rsidRDefault="00A45603" w:rsidP="00F91D5E">
            <w:r w:rsidRPr="00210EC7">
              <w:t xml:space="preserve">займам")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75-1 "Расчеты по </w:t>
            </w:r>
          </w:p>
          <w:p w:rsidR="00A45603" w:rsidRPr="00210EC7" w:rsidRDefault="00A45603" w:rsidP="00F91D5E">
            <w:r w:rsidRPr="00210EC7">
              <w:t xml:space="preserve">вкладам в уставный </w:t>
            </w:r>
          </w:p>
          <w:p w:rsidR="00A45603" w:rsidRPr="00210EC7" w:rsidRDefault="00A45603" w:rsidP="00F91D5E">
            <w:r w:rsidRPr="00210EC7">
              <w:t xml:space="preserve">(складочный) </w:t>
            </w:r>
          </w:p>
          <w:p w:rsidR="00A45603" w:rsidRPr="00210EC7" w:rsidRDefault="00A45603" w:rsidP="00F91D5E">
            <w:r w:rsidRPr="00210EC7">
              <w:t xml:space="preserve">капитал" </w:t>
            </w:r>
          </w:p>
        </w:tc>
      </w:tr>
    </w:tbl>
    <w:p w:rsidR="00A45603" w:rsidRPr="00210EC7" w:rsidRDefault="00A45603" w:rsidP="00A45603">
      <w:pPr>
        <w:spacing w:before="120"/>
        <w:ind w:firstLine="567"/>
        <w:jc w:val="both"/>
      </w:pPr>
      <w:r w:rsidRPr="00210EC7">
        <w:t>Заимодавец</w:t>
      </w:r>
      <w:r>
        <w:t xml:space="preserve"> - </w:t>
      </w:r>
      <w:r w:rsidRPr="00210EC7">
        <w:t xml:space="preserve">ваша "дочка"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Если заимодавец</w:t>
      </w:r>
      <w:r>
        <w:t xml:space="preserve"> - </w:t>
      </w:r>
      <w:r w:rsidRPr="00210EC7">
        <w:t>дочерняя компания</w:t>
      </w:r>
      <w:r>
        <w:t xml:space="preserve">, </w:t>
      </w:r>
      <w:r w:rsidRPr="00210EC7">
        <w:t>в которой доля вашей компании составляет более 50%</w:t>
      </w:r>
      <w:r>
        <w:t xml:space="preserve">, </w:t>
      </w:r>
      <w:r w:rsidRPr="00210EC7">
        <w:t>то в целях бездоходного избавления от долга она может простить задолженность по займу</w:t>
      </w:r>
      <w:r>
        <w:t xml:space="preserve"> </w:t>
      </w:r>
      <w:r w:rsidRPr="00210EC7">
        <w:t xml:space="preserve">&lt;11&gt;. Для этого она пишет вам письмо либо вы заключаете соглашение. Простить можно любую сумму.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Прощенный такой "дочкой" долг не учитывается в доходах для целей налогообложения</w:t>
      </w:r>
      <w:r>
        <w:t xml:space="preserve"> </w:t>
      </w:r>
      <w:r w:rsidRPr="00210EC7">
        <w:t>&lt;12&gt;. А вот в бухучете это прочий доход. Поэтому возникнет постоянная разница</w:t>
      </w:r>
      <w:r>
        <w:t xml:space="preserve"> </w:t>
      </w:r>
      <w:r w:rsidRPr="00210EC7">
        <w:t xml:space="preserve">&lt;13&gt;.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2844"/>
        <w:gridCol w:w="2992"/>
      </w:tblGrid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Содержание операции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Дт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Кт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Отражен прочий доход в </w:t>
            </w:r>
          </w:p>
          <w:p w:rsidR="00A45603" w:rsidRPr="00210EC7" w:rsidRDefault="00A45603" w:rsidP="00F91D5E">
            <w:r w:rsidRPr="00210EC7">
              <w:t xml:space="preserve">сумме прощенного займа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66 "Расчеты по </w:t>
            </w:r>
          </w:p>
          <w:p w:rsidR="00A45603" w:rsidRPr="00210EC7" w:rsidRDefault="00A45603" w:rsidP="00F91D5E">
            <w:r w:rsidRPr="00210EC7">
              <w:t xml:space="preserve">краткосрочным </w:t>
            </w:r>
          </w:p>
          <w:p w:rsidR="00A45603" w:rsidRPr="00210EC7" w:rsidRDefault="00A45603" w:rsidP="00F91D5E">
            <w:r w:rsidRPr="00210EC7">
              <w:t>кредитам и займам"</w:t>
            </w:r>
          </w:p>
          <w:p w:rsidR="00A45603" w:rsidRPr="00210EC7" w:rsidRDefault="00A45603" w:rsidP="00F91D5E">
            <w:r w:rsidRPr="00210EC7">
              <w:t xml:space="preserve">(67 "Расчеты по </w:t>
            </w:r>
          </w:p>
          <w:p w:rsidR="00A45603" w:rsidRPr="00210EC7" w:rsidRDefault="00A45603" w:rsidP="00F91D5E">
            <w:r w:rsidRPr="00210EC7">
              <w:t xml:space="preserve">долгосрочным </w:t>
            </w:r>
          </w:p>
          <w:p w:rsidR="00A45603" w:rsidRPr="00210EC7" w:rsidRDefault="00A45603" w:rsidP="00F91D5E">
            <w:r w:rsidRPr="00210EC7">
              <w:t xml:space="preserve">кредитам и </w:t>
            </w:r>
          </w:p>
          <w:p w:rsidR="00A45603" w:rsidRPr="00210EC7" w:rsidRDefault="00A45603" w:rsidP="00F91D5E">
            <w:r w:rsidRPr="00210EC7">
              <w:t xml:space="preserve">займам")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91-1 "Прочие </w:t>
            </w:r>
          </w:p>
          <w:p w:rsidR="00A45603" w:rsidRPr="00210EC7" w:rsidRDefault="00A45603" w:rsidP="00F91D5E">
            <w:r w:rsidRPr="00210EC7">
              <w:t xml:space="preserve">доходы"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Отражен ПНА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68 "Расчеты по </w:t>
            </w:r>
          </w:p>
          <w:p w:rsidR="00A45603" w:rsidRPr="00210EC7" w:rsidRDefault="00A45603" w:rsidP="00F91D5E">
            <w:r w:rsidRPr="00210EC7">
              <w:t>налогам и сборам"</w:t>
            </w:r>
            <w:r>
              <w:t xml:space="preserve">, </w:t>
            </w:r>
          </w:p>
          <w:p w:rsidR="00A45603" w:rsidRPr="00210EC7" w:rsidRDefault="00A45603" w:rsidP="00F91D5E">
            <w:r w:rsidRPr="00210EC7">
              <w:t xml:space="preserve">субсчет "Налог на </w:t>
            </w:r>
          </w:p>
          <w:p w:rsidR="00A45603" w:rsidRPr="00210EC7" w:rsidRDefault="00A45603" w:rsidP="00F91D5E">
            <w:r w:rsidRPr="00210EC7">
              <w:t xml:space="preserve">прибыль"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99 "Прибыли и </w:t>
            </w:r>
          </w:p>
          <w:p w:rsidR="00A45603" w:rsidRPr="00210EC7" w:rsidRDefault="00A45603" w:rsidP="00F91D5E">
            <w:r w:rsidRPr="00210EC7">
              <w:t xml:space="preserve">убытки" </w:t>
            </w:r>
          </w:p>
        </w:tc>
      </w:tr>
    </w:tbl>
    <w:p w:rsidR="00A45603" w:rsidRPr="00210EC7" w:rsidRDefault="00A45603" w:rsidP="00A45603">
      <w:pPr>
        <w:spacing w:before="120"/>
        <w:ind w:firstLine="567"/>
        <w:jc w:val="both"/>
      </w:pPr>
      <w:r w:rsidRPr="00210EC7">
        <w:t>Заимодавец</w:t>
      </w:r>
      <w:r>
        <w:t xml:space="preserve"> - </w:t>
      </w:r>
      <w:r w:rsidRPr="00210EC7">
        <w:t xml:space="preserve">иное аффилированное лицо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Вы можете дождаться истечения срока исковой давности по вашему заемному обязательству и затем списать этот долг. То есть по истечении 3 лет со дня окончания срока возврата займа вы включите сумму займа во внереализационные доходы как списанную кредиторскую задолженность</w:t>
      </w:r>
      <w:r>
        <w:t xml:space="preserve"> </w:t>
      </w:r>
      <w:r w:rsidRPr="00210EC7">
        <w:t>&lt;14&gt;. А заимодавец сможет отразить эти суммы во внереализационных расходах как дебиторскую задолженность</w:t>
      </w:r>
      <w:r>
        <w:t xml:space="preserve">, </w:t>
      </w:r>
      <w:r w:rsidRPr="00210EC7">
        <w:t>невозможную ко взысканию</w:t>
      </w:r>
      <w:r>
        <w:t xml:space="preserve"> </w:t>
      </w:r>
      <w:r w:rsidRPr="00210EC7">
        <w:t xml:space="preserve">&lt;15&gt;.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Этот вариант подходит для дружественных компаний</w:t>
      </w:r>
      <w:r>
        <w:t xml:space="preserve">, </w:t>
      </w:r>
      <w:r w:rsidRPr="00210EC7">
        <w:t>если заимодавец</w:t>
      </w:r>
      <w:r>
        <w:t xml:space="preserve"> - </w:t>
      </w:r>
      <w:r w:rsidRPr="00210EC7">
        <w:t>организация</w:t>
      </w:r>
      <w:r>
        <w:t xml:space="preserve">, </w:t>
      </w:r>
      <w:r w:rsidRPr="00210EC7">
        <w:t>находящаяся на общем режиме налогообложения</w:t>
      </w:r>
      <w:r>
        <w:t xml:space="preserve">, </w:t>
      </w:r>
      <w:r w:rsidRPr="00210EC7">
        <w:t>а ваша компания (или предприниматель) применяет УСНО. Общий результат от списания суммы займа по двум компаниям будет положительным. К примеру</w:t>
      </w:r>
      <w:r>
        <w:t xml:space="preserve">, </w:t>
      </w:r>
      <w:r w:rsidRPr="00210EC7">
        <w:t>при сумме займа 100 руб. вы</w:t>
      </w:r>
      <w:r>
        <w:t xml:space="preserve">, </w:t>
      </w:r>
      <w:r w:rsidRPr="00210EC7">
        <w:t>применяя УСНО</w:t>
      </w:r>
      <w:r>
        <w:t xml:space="preserve">, </w:t>
      </w:r>
      <w:r w:rsidRPr="00210EC7">
        <w:t>заплатите налог 6 руб. (100 руб. х 6%) или 15 руб.</w:t>
      </w:r>
      <w:r>
        <w:t xml:space="preserve">, </w:t>
      </w:r>
      <w:r w:rsidRPr="00210EC7">
        <w:t>(100 руб. х 15%) в зависимости от объекта налогообложения. А заимодавец-общережимник</w:t>
      </w:r>
      <w:r>
        <w:t xml:space="preserve">, </w:t>
      </w:r>
      <w:r w:rsidRPr="00210EC7">
        <w:t>включив сумму займа в расходы</w:t>
      </w:r>
      <w:r>
        <w:t xml:space="preserve">, </w:t>
      </w:r>
      <w:r w:rsidRPr="00210EC7">
        <w:t xml:space="preserve">сэкономит на налоге на прибыль 20 руб. (100 руб. х 20%).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В бухгалтерском учете заемщик отразит эту операцию следующей проводкой.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2844"/>
        <w:gridCol w:w="2992"/>
      </w:tblGrid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Содержание операции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Дт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Кт </w:t>
            </w:r>
          </w:p>
        </w:tc>
      </w:tr>
      <w:tr w:rsidR="00A45603" w:rsidRPr="00210EC7" w:rsidTr="00F91D5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Списана задолженность по </w:t>
            </w:r>
          </w:p>
          <w:p w:rsidR="00A45603" w:rsidRPr="00210EC7" w:rsidRDefault="00A45603" w:rsidP="00F91D5E">
            <w:r w:rsidRPr="00210EC7">
              <w:t xml:space="preserve">договору займа в связи с </w:t>
            </w:r>
          </w:p>
          <w:p w:rsidR="00A45603" w:rsidRPr="00210EC7" w:rsidRDefault="00A45603" w:rsidP="00F91D5E">
            <w:r w:rsidRPr="00210EC7">
              <w:t>истечением срока давности</w:t>
            </w:r>
          </w:p>
          <w:p w:rsidR="00A45603" w:rsidRPr="00210EC7" w:rsidRDefault="00A45603" w:rsidP="00F91D5E">
            <w:r w:rsidRPr="00210EC7">
              <w:t xml:space="preserve">ее взыскания заимодавцем 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66 "Расчеты по </w:t>
            </w:r>
          </w:p>
          <w:p w:rsidR="00A45603" w:rsidRPr="00210EC7" w:rsidRDefault="00A45603" w:rsidP="00F91D5E">
            <w:r w:rsidRPr="00210EC7">
              <w:t xml:space="preserve">краткосрочным </w:t>
            </w:r>
          </w:p>
          <w:p w:rsidR="00A45603" w:rsidRPr="00210EC7" w:rsidRDefault="00A45603" w:rsidP="00F91D5E">
            <w:r w:rsidRPr="00210EC7">
              <w:t>кредитам и займам"</w:t>
            </w:r>
          </w:p>
          <w:p w:rsidR="00A45603" w:rsidRPr="00210EC7" w:rsidRDefault="00A45603" w:rsidP="00F91D5E">
            <w:r w:rsidRPr="00210EC7">
              <w:t xml:space="preserve">(67 "Расчеты по </w:t>
            </w:r>
          </w:p>
          <w:p w:rsidR="00A45603" w:rsidRPr="00210EC7" w:rsidRDefault="00A45603" w:rsidP="00F91D5E">
            <w:r w:rsidRPr="00210EC7">
              <w:t xml:space="preserve">долгосрочным </w:t>
            </w:r>
          </w:p>
          <w:p w:rsidR="00A45603" w:rsidRPr="00210EC7" w:rsidRDefault="00A45603" w:rsidP="00F91D5E">
            <w:r w:rsidRPr="00210EC7">
              <w:t xml:space="preserve">кредитам и </w:t>
            </w:r>
          </w:p>
          <w:p w:rsidR="00A45603" w:rsidRPr="00210EC7" w:rsidRDefault="00A45603" w:rsidP="00F91D5E">
            <w:r w:rsidRPr="00210EC7">
              <w:t xml:space="preserve">займам") 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603" w:rsidRPr="00210EC7" w:rsidRDefault="00A45603" w:rsidP="00F91D5E">
            <w:r w:rsidRPr="00210EC7">
              <w:t xml:space="preserve">91-1 "Прочие </w:t>
            </w:r>
          </w:p>
          <w:p w:rsidR="00A45603" w:rsidRPr="00210EC7" w:rsidRDefault="00A45603" w:rsidP="00F91D5E">
            <w:r w:rsidRPr="00210EC7">
              <w:t xml:space="preserve">доходы" </w:t>
            </w:r>
          </w:p>
        </w:tc>
      </w:tr>
    </w:tbl>
    <w:p w:rsidR="00A45603" w:rsidRPr="00210EC7" w:rsidRDefault="00A45603" w:rsidP="00A45603">
      <w:pPr>
        <w:spacing w:before="120"/>
        <w:ind w:firstLine="567"/>
        <w:jc w:val="both"/>
      </w:pPr>
      <w:r w:rsidRPr="00210EC7">
        <w:t>Примечание. Об основных направлениях налоговой политики на ближайшие 3 года можно прочитать: ГК</w:t>
      </w:r>
      <w:r>
        <w:t xml:space="preserve">, </w:t>
      </w:r>
      <w:r w:rsidRPr="00210EC7">
        <w:t>2012</w:t>
      </w:r>
      <w:r>
        <w:t xml:space="preserve">, </w:t>
      </w:r>
      <w:r w:rsidRPr="00210EC7">
        <w:t>N 10</w:t>
      </w:r>
      <w:r>
        <w:t xml:space="preserve">, </w:t>
      </w:r>
      <w:r w:rsidRPr="00210EC7">
        <w:t xml:space="preserve">с. 90 </w:t>
      </w:r>
    </w:p>
    <w:p w:rsidR="00A45603" w:rsidRPr="00210EC7" w:rsidRDefault="00A45603" w:rsidP="00A45603">
      <w:pPr>
        <w:spacing w:before="120"/>
        <w:ind w:firstLine="567"/>
        <w:jc w:val="both"/>
      </w:pPr>
      <w:r>
        <w:t>***</w:t>
      </w:r>
      <w:r w:rsidRPr="00210EC7">
        <w:t xml:space="preserve">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Если заимодавец</w:t>
      </w:r>
      <w:r>
        <w:t xml:space="preserve"> - </w:t>
      </w:r>
      <w:r w:rsidRPr="00210EC7">
        <w:t>ваш участник</w:t>
      </w:r>
      <w:r>
        <w:t xml:space="preserve">, </w:t>
      </w:r>
      <w:r w:rsidRPr="00210EC7">
        <w:t>то самый удобный способ "закрыть" заем</w:t>
      </w:r>
      <w:r>
        <w:t xml:space="preserve"> - </w:t>
      </w:r>
      <w:r w:rsidRPr="00210EC7">
        <w:t>увеличить за счет погашения этой задолженности чистые активы вашей компании. Нужно иметь в виду</w:t>
      </w:r>
      <w:r>
        <w:t xml:space="preserve">, </w:t>
      </w:r>
      <w:r w:rsidRPr="00210EC7">
        <w:t xml:space="preserve">что применяемая в этом случае налоговая льгота может быть в скором времени отменена. Такую задачу власти поставили перед собой в Основных направлениях налоговой политики на 2013-2015 гг.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Вместе с тем ничего страшного в зависшем займе нет. Если заем предоставлен участником до востребования ("бессрочный" заем) и у вас нет цели "очистить" баланс</w:t>
      </w:r>
      <w:r>
        <w:t xml:space="preserve">, </w:t>
      </w:r>
      <w:r w:rsidRPr="00210EC7">
        <w:t>то вы можете вообще ничего не делать. Задолженность может висеть на балансе бесконечно долго. И не нужно отражать эти деньги во внереализационных доходах. Ведь пока заимодавец не потребует возврата денег</w:t>
      </w:r>
      <w:r>
        <w:t xml:space="preserve"> - </w:t>
      </w:r>
      <w:r w:rsidRPr="00210EC7">
        <w:t xml:space="preserve">срок исковой давности течь не начнет.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&lt;1&gt; подп. 3.4 п. 1 ст. 251 НК РФ; Письма ФНС от 02.05.2012 N ЕД-3-3/1581@</w:t>
      </w:r>
      <w:r>
        <w:t xml:space="preserve">, </w:t>
      </w:r>
      <w:r w:rsidRPr="00210EC7">
        <w:t xml:space="preserve">от 20.07.2011 N ЕД-4-3/11698@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&lt;2&gt; п. 1 ст. 27 Закона от 08.02.98 N 14-ФЗ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&lt;3&gt; п. 2 Указания ЦБ от 20.06.2007 N 1843-У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&lt;4&gt; п. 1 Указания ЦБ от 20.06.2007 N 1843-У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&lt;5&gt; подп. 11 п. 1 ст. 251 НК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&lt;6&gt; п. 4 ст. 19 Закона от 08.02.98 N 14-ФЗ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&lt;7&gt; пп. 1</w:t>
      </w:r>
      <w:r>
        <w:t xml:space="preserve">, </w:t>
      </w:r>
      <w:r w:rsidRPr="00210EC7">
        <w:t xml:space="preserve">2 ст. 19 Закона от 08.02.98 N 14-ФЗ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&lt;8&gt; подп. 3 п. 1 ст. 333.33 НК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&lt;9&gt; подп. 1 п. 1 ст. 220</w:t>
      </w:r>
      <w:r>
        <w:t xml:space="preserve">, </w:t>
      </w:r>
      <w:r w:rsidRPr="00210EC7">
        <w:t xml:space="preserve">подп. 2.1. п. 1 ст. 268 НК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&lt;10&gt; подп. 3 п. 1 ст. 251 НК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&lt;11&gt; ст. 415 ГК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&lt;12&gt; подп. 11 п. 1 ст. 251 НК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 xml:space="preserve">&lt;13&gt; п. 7 ПБУ 18/02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&lt;14&gt; п. 1 ст. 346.15</w:t>
      </w:r>
      <w:r>
        <w:t xml:space="preserve">, </w:t>
      </w:r>
      <w:r w:rsidRPr="00210EC7">
        <w:t xml:space="preserve">п. 18 ст. 250 НК РФ; ст. 196 ГК РФ </w:t>
      </w:r>
    </w:p>
    <w:p w:rsidR="00A45603" w:rsidRPr="00210EC7" w:rsidRDefault="00A45603" w:rsidP="00A45603">
      <w:pPr>
        <w:spacing w:before="120"/>
        <w:ind w:firstLine="567"/>
        <w:jc w:val="both"/>
      </w:pPr>
      <w:r w:rsidRPr="00210EC7">
        <w:t>&lt;15&gt; подп. 2 п. 2 ст. 265</w:t>
      </w:r>
      <w:r>
        <w:t xml:space="preserve">, </w:t>
      </w:r>
      <w:r w:rsidRPr="00210EC7">
        <w:t xml:space="preserve">п. 2 ст. 266 НК РФ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603"/>
    <w:rsid w:val="0015281C"/>
    <w:rsid w:val="001A35F6"/>
    <w:rsid w:val="001B6B91"/>
    <w:rsid w:val="00210EC7"/>
    <w:rsid w:val="00267C11"/>
    <w:rsid w:val="006A17AE"/>
    <w:rsid w:val="00811DD4"/>
    <w:rsid w:val="00A45603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E5EF2-90CA-462F-BAA3-3BC2D3A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7699</Characters>
  <Application>Microsoft Office Word</Application>
  <DocSecurity>0</DocSecurity>
  <Lines>64</Lines>
  <Paragraphs>18</Paragraphs>
  <ScaleCrop>false</ScaleCrop>
  <Company>Home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убрать из баланса "безвозвратный" заем</dc:title>
  <dc:subject/>
  <dc:creator>User</dc:creator>
  <cp:keywords/>
  <dc:description/>
  <cp:lastModifiedBy>Irina</cp:lastModifiedBy>
  <cp:revision>2</cp:revision>
  <dcterms:created xsi:type="dcterms:W3CDTF">2014-07-19T08:56:00Z</dcterms:created>
  <dcterms:modified xsi:type="dcterms:W3CDTF">2014-07-19T08:56:00Z</dcterms:modified>
</cp:coreProperties>
</file>