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C42C4" w:rsidRDefault="00D573A2">
      <w:pPr>
        <w:pStyle w:val="1"/>
        <w:jc w:val="center"/>
      </w:pPr>
      <w:r>
        <w:t>К вопросу о роли сферы услуг в постиндустриальной экономике</w:t>
      </w:r>
    </w:p>
    <w:p w:rsidR="008C42C4" w:rsidRPr="00D573A2" w:rsidRDefault="00D573A2">
      <w:pPr>
        <w:pStyle w:val="a3"/>
      </w:pPr>
      <w:r>
        <w:t> </w:t>
      </w:r>
    </w:p>
    <w:p w:rsidR="008C42C4" w:rsidRDefault="00D573A2">
      <w:pPr>
        <w:pStyle w:val="a3"/>
      </w:pPr>
      <w:r>
        <w:t>М. М. Третьяков, Д. А. Питиляк</w:t>
      </w:r>
    </w:p>
    <w:p w:rsidR="008C42C4" w:rsidRDefault="00D573A2">
      <w:pPr>
        <w:pStyle w:val="a3"/>
      </w:pPr>
      <w:r>
        <w:t>В настоящее время одним из основных критериев перехода развитой страны в фазу постиндустриального общества называют выполнение лидирующей функции в экономике сферы услуг. Например, известный американский исследователь идей информационного общества Дэниэл Бэлл указывал, что постиндустриальное общество определяется качеством жизни, измеряемым услугами и различными удобствами [1]. Идеи будущего господства «цивилизации услуг» были высказаны в т.ч. в работах Алана Дж.Б. Фишера [2] и К. Кларка [3], которые предприняли попытку разделить всё общественное воспроизводство на секторы и связали перспективы экономического и общественного развития именно с третичным сектором (сферой услуг). Также важно отметить, что, в частности, Ж. Фурастье ожидал, что в постиндустриальном обществе воплотится идеал гармоничного развития, поскольку свойственные в большей мере системам с индустриальным укладом колебания экономической конъюнктуры в будущем сменятся замедлением роста (в том числе интенсивного) в экономиках с развитой сферой услуг [4]. Подобного рода воззрения впоследствии были взяты на вооружение участниками Римского клуба и сторонниками концепций устойчивого развития.</w:t>
      </w:r>
    </w:p>
    <w:p w:rsidR="008C42C4" w:rsidRDefault="00D573A2">
      <w:pPr>
        <w:pStyle w:val="a3"/>
      </w:pPr>
      <w:r>
        <w:t>Сегодня считается, что развитая сфера услуг - залог успешного развития общества. Но мы оговоримся, что, например, юридические услуги экономически вообще не порождают приращения производимого продукта, поскольку только перераспределяют уже созданное. Но оплата труда юриста часто бывает выше, чем у фактического производителя товара. При этом общественно необходимые затраты труда на оказание бизнес-услуг потенциально могут быть существенно ниже фактических: например, дореволюционное русское купечества нередко заключало сделки лишь в устной форме, без составления договоров [5]. Результативность финансовых услуг и операций в значительной мере зависит от искажающего действия рынка: например, первичное размещение стоимости акций компании Facebook вызвало падение её капитализации. Сектор услуг нередко становился аккумулятором факторов кризисного развития: например, операции с недвижимостью и финансовокредитными инструментами инициировали азиатский и американский ипотечный кризис 1997 и 2007 года соответственно.</w:t>
      </w:r>
    </w:p>
    <w:p w:rsidR="008C42C4" w:rsidRDefault="00D573A2">
      <w:pPr>
        <w:pStyle w:val="a3"/>
      </w:pPr>
      <w:r>
        <w:t>В настоящее время пока ещё остро не поставлена проблема внутреннего структурирования сферы услуг, но имеется множество предложений, как их классифицировать по уровню удовлетворяемых потребностей и по качеству воздействия на общество. Например, В. Л. Иноземцев к собственно третичному сектору относит бытовые услуги, транспорт, складское хранение; к четвертичному - торговлю, финансовые услуги, операции с недвижимостью; к пятеричному - здравоохранение, образование, научные исследования, индустрию отдыха культуру, государственное управление [6].</w:t>
      </w:r>
    </w:p>
    <w:p w:rsidR="008C42C4" w:rsidRDefault="00D573A2">
      <w:pPr>
        <w:pStyle w:val="a3"/>
      </w:pPr>
      <w:r>
        <w:t>В рамках идеи постиндустриального общества важно упомянуть и о роли промышленности в современной развитой экономике. Несмотря на снижение доли индустриального сектора и расширение сферы услуг в структуре ВВП, западные экономики не стали принципиально непромышленными. Здесь стоит отметить два аспекта. Во-первых, развитые страны вывели значительную часть промышленного производства туда, где имелись дешёвые источники сырья и рабочей силы. Помимо прочего это косвенно доказывается тем, что для развитых стран показатели ВВП и ВНД сопоставимы и практически равны по своему значению. Например, для США отношение ВНД к ВВП (в текущих ценах) в 2005, 2008 и 2011гг. составило соответственно 1,05; 1,02; 1,01 [7]. Таким образом, положительное сальдо получаемых/передаваемых доходов (около 380 млрд долл. в абсолютном выражении) свидетельствует о том, что в настоящее время для американской экономики (как и для других развитых при прочих равных условиях) характерно генерирование существенного объема доходов капиталом резидентов, находящихся за рубежом.</w:t>
      </w:r>
    </w:p>
    <w:p w:rsidR="008C42C4" w:rsidRDefault="00D573A2">
      <w:pPr>
        <w:pStyle w:val="a3"/>
      </w:pPr>
      <w:r>
        <w:t>Во-вторых, историческое абсолютное и относительное сокращение промышленного сектора в развитых странах равноценно компенсируется расширением импорта промышленных товаров. Данные говорят о том, что удельный вес топливно-сырьевых ресурсов и промышленных товаров в структуре импорта значителен в развитых странах (особенно по второму показателю - в среднем, выше 50%), табл. 1. Более того, исследуемые отдельные и сгруппированные развитые страны не в состоянии перекрыть результатом международной торговли услугами явные и весомые дефициты товарных торговых балансов.</w:t>
      </w:r>
    </w:p>
    <w:p w:rsidR="008C42C4" w:rsidRDefault="00D573A2">
      <w:pPr>
        <w:pStyle w:val="a3"/>
      </w:pPr>
      <w:r>
        <w:t>Таблица 1</w:t>
      </w:r>
    </w:p>
    <w:p w:rsidR="008C42C4" w:rsidRDefault="00D573A2">
      <w:pPr>
        <w:pStyle w:val="a3"/>
      </w:pPr>
      <w:r>
        <w:t>Показатели международной торговли отдельных стран в 2011 году</w:t>
      </w:r>
    </w:p>
    <w:p w:rsidR="008C42C4" w:rsidRDefault="00D573A2">
      <w:pPr>
        <w:pStyle w:val="a3"/>
      </w:pPr>
      <w:r>
        <w:t> </w:t>
      </w:r>
    </w:p>
    <w:tbl>
      <w:tblPr>
        <w:tblW w:w="0" w:type="auto"/>
        <w:tblCellSpacing w:w="0" w:type="dxa"/>
        <w:tblCellMar>
          <w:left w:w="0" w:type="dxa"/>
          <w:right w:w="0" w:type="dxa"/>
        </w:tblCellMar>
        <w:tblLook w:val="04A0" w:firstRow="1" w:lastRow="0" w:firstColumn="1" w:lastColumn="0" w:noHBand="0" w:noVBand="1"/>
      </w:tblPr>
      <w:tblGrid>
        <w:gridCol w:w="480"/>
        <w:gridCol w:w="480"/>
        <w:gridCol w:w="480"/>
        <w:gridCol w:w="480"/>
        <w:gridCol w:w="480"/>
      </w:tblGrid>
      <w:tr w:rsidR="008C42C4">
        <w:trPr>
          <w:trHeight w:val="1185"/>
          <w:tblCellSpacing w:w="0" w:type="dxa"/>
        </w:trPr>
        <w:tc>
          <w:tcPr>
            <w:tcW w:w="0" w:type="auto"/>
            <w:vAlign w:val="center"/>
            <w:hideMark/>
          </w:tcPr>
          <w:p w:rsidR="008C42C4" w:rsidRDefault="00D573A2">
            <w:r>
              <w:t>Страна</w:t>
            </w:r>
          </w:p>
        </w:tc>
        <w:tc>
          <w:tcPr>
            <w:tcW w:w="0" w:type="auto"/>
            <w:vAlign w:val="center"/>
            <w:hideMark/>
          </w:tcPr>
          <w:p w:rsidR="008C42C4" w:rsidRDefault="00D573A2">
            <w:r>
              <w:t>Уд. вес топлива и сырья в структуре импорта, %</w:t>
            </w:r>
          </w:p>
        </w:tc>
        <w:tc>
          <w:tcPr>
            <w:tcW w:w="0" w:type="auto"/>
            <w:vAlign w:val="center"/>
            <w:hideMark/>
          </w:tcPr>
          <w:p w:rsidR="008C42C4" w:rsidRDefault="00D573A2">
            <w:r>
              <w:t>Уд. вес пром. товаров в структуре импорта, %</w:t>
            </w:r>
          </w:p>
        </w:tc>
        <w:tc>
          <w:tcPr>
            <w:tcW w:w="0" w:type="auto"/>
            <w:vAlign w:val="center"/>
            <w:hideMark/>
          </w:tcPr>
          <w:p w:rsidR="008C42C4" w:rsidRDefault="00D573A2">
            <w:r>
              <w:t>Сальдо экспорта/ импорта товаров, млрд долл.</w:t>
            </w:r>
          </w:p>
        </w:tc>
        <w:tc>
          <w:tcPr>
            <w:tcW w:w="0" w:type="auto"/>
            <w:vAlign w:val="center"/>
            <w:hideMark/>
          </w:tcPr>
          <w:p w:rsidR="008C42C4" w:rsidRPr="00D573A2" w:rsidRDefault="00D573A2">
            <w:pPr>
              <w:pStyle w:val="a3"/>
            </w:pPr>
            <w:r w:rsidRPr="00D573A2">
              <w:t>Сальдо</w:t>
            </w:r>
          </w:p>
          <w:p w:rsidR="008C42C4" w:rsidRPr="00D573A2" w:rsidRDefault="00D573A2">
            <w:pPr>
              <w:pStyle w:val="a3"/>
            </w:pPr>
            <w:r w:rsidRPr="00D573A2">
              <w:t>экспорта/</w:t>
            </w:r>
          </w:p>
          <w:p w:rsidR="008C42C4" w:rsidRPr="00D573A2" w:rsidRDefault="00D573A2">
            <w:pPr>
              <w:pStyle w:val="a3"/>
            </w:pPr>
            <w:r w:rsidRPr="00D573A2">
              <w:t>импорта</w:t>
            </w:r>
          </w:p>
          <w:p w:rsidR="008C42C4" w:rsidRPr="00D573A2" w:rsidRDefault="00D573A2">
            <w:pPr>
              <w:pStyle w:val="a3"/>
            </w:pPr>
            <w:r w:rsidRPr="00D573A2">
              <w:t>услуг, млрд долл.</w:t>
            </w:r>
          </w:p>
        </w:tc>
      </w:tr>
      <w:tr w:rsidR="008C42C4">
        <w:trPr>
          <w:trHeight w:val="240"/>
          <w:tblCellSpacing w:w="0" w:type="dxa"/>
        </w:trPr>
        <w:tc>
          <w:tcPr>
            <w:tcW w:w="0" w:type="auto"/>
            <w:vAlign w:val="center"/>
            <w:hideMark/>
          </w:tcPr>
          <w:p w:rsidR="008C42C4" w:rsidRDefault="00D573A2">
            <w:r>
              <w:t>Россия</w:t>
            </w:r>
          </w:p>
        </w:tc>
        <w:tc>
          <w:tcPr>
            <w:tcW w:w="0" w:type="auto"/>
            <w:vAlign w:val="center"/>
            <w:hideMark/>
          </w:tcPr>
          <w:p w:rsidR="008C42C4" w:rsidRDefault="00D573A2">
            <w:r>
              <w:t>4,3</w:t>
            </w:r>
          </w:p>
        </w:tc>
        <w:tc>
          <w:tcPr>
            <w:tcW w:w="0" w:type="auto"/>
            <w:vAlign w:val="center"/>
            <w:hideMark/>
          </w:tcPr>
          <w:p w:rsidR="008C42C4" w:rsidRDefault="00D573A2">
            <w:r>
              <w:t>80,7</w:t>
            </w:r>
          </w:p>
        </w:tc>
        <w:tc>
          <w:tcPr>
            <w:tcW w:w="0" w:type="auto"/>
            <w:vAlign w:val="center"/>
            <w:hideMark/>
          </w:tcPr>
          <w:p w:rsidR="008C42C4" w:rsidRDefault="00D573A2">
            <w:r>
              <w:t>198</w:t>
            </w:r>
          </w:p>
        </w:tc>
        <w:tc>
          <w:tcPr>
            <w:tcW w:w="0" w:type="auto"/>
            <w:vAlign w:val="center"/>
            <w:hideMark/>
          </w:tcPr>
          <w:p w:rsidR="008C42C4" w:rsidRDefault="00D573A2">
            <w:r>
              <w:t>-35</w:t>
            </w:r>
          </w:p>
        </w:tc>
      </w:tr>
      <w:tr w:rsidR="008C42C4">
        <w:trPr>
          <w:trHeight w:val="240"/>
          <w:tblCellSpacing w:w="0" w:type="dxa"/>
        </w:trPr>
        <w:tc>
          <w:tcPr>
            <w:tcW w:w="0" w:type="auto"/>
            <w:vAlign w:val="center"/>
            <w:hideMark/>
          </w:tcPr>
          <w:p w:rsidR="008C42C4" w:rsidRDefault="00D573A2">
            <w:r>
              <w:t>Япония</w:t>
            </w:r>
          </w:p>
        </w:tc>
        <w:tc>
          <w:tcPr>
            <w:tcW w:w="0" w:type="auto"/>
            <w:vAlign w:val="center"/>
            <w:hideMark/>
          </w:tcPr>
          <w:p w:rsidR="008C42C4" w:rsidRDefault="00D573A2">
            <w:r>
              <w:t>40,1</w:t>
            </w:r>
          </w:p>
        </w:tc>
        <w:tc>
          <w:tcPr>
            <w:tcW w:w="0" w:type="auto"/>
            <w:vAlign w:val="center"/>
            <w:hideMark/>
          </w:tcPr>
          <w:p w:rsidR="008C42C4" w:rsidRDefault="00D573A2">
            <w:r>
              <w:t>47,0</w:t>
            </w:r>
          </w:p>
        </w:tc>
        <w:tc>
          <w:tcPr>
            <w:tcW w:w="0" w:type="auto"/>
            <w:vAlign w:val="center"/>
            <w:hideMark/>
          </w:tcPr>
          <w:p w:rsidR="008C42C4" w:rsidRDefault="00D573A2">
            <w:r>
              <w:t>-32</w:t>
            </w:r>
          </w:p>
        </w:tc>
        <w:tc>
          <w:tcPr>
            <w:tcW w:w="0" w:type="auto"/>
            <w:vAlign w:val="center"/>
            <w:hideMark/>
          </w:tcPr>
          <w:p w:rsidR="008C42C4" w:rsidRDefault="00D573A2">
            <w:r>
              <w:t>-24</w:t>
            </w:r>
          </w:p>
        </w:tc>
      </w:tr>
      <w:tr w:rsidR="008C42C4">
        <w:trPr>
          <w:trHeight w:val="240"/>
          <w:tblCellSpacing w:w="0" w:type="dxa"/>
        </w:trPr>
        <w:tc>
          <w:tcPr>
            <w:tcW w:w="0" w:type="auto"/>
            <w:vAlign w:val="center"/>
            <w:hideMark/>
          </w:tcPr>
          <w:p w:rsidR="008C42C4" w:rsidRDefault="00D573A2">
            <w:r>
              <w:t>США</w:t>
            </w:r>
          </w:p>
        </w:tc>
        <w:tc>
          <w:tcPr>
            <w:tcW w:w="0" w:type="auto"/>
            <w:vAlign w:val="center"/>
            <w:hideMark/>
          </w:tcPr>
          <w:p w:rsidR="008C42C4" w:rsidRDefault="00D573A2">
            <w:r>
              <w:t>23,1</w:t>
            </w:r>
          </w:p>
        </w:tc>
        <w:tc>
          <w:tcPr>
            <w:tcW w:w="0" w:type="auto"/>
            <w:vAlign w:val="center"/>
            <w:hideMark/>
          </w:tcPr>
          <w:p w:rsidR="008C42C4" w:rsidRDefault="00D573A2">
            <w:r>
              <w:t>67,2</w:t>
            </w:r>
          </w:p>
        </w:tc>
        <w:tc>
          <w:tcPr>
            <w:tcW w:w="0" w:type="auto"/>
            <w:vAlign w:val="center"/>
            <w:hideMark/>
          </w:tcPr>
          <w:p w:rsidR="008C42C4" w:rsidRDefault="00D573A2">
            <w:r>
              <w:t>-786</w:t>
            </w:r>
          </w:p>
        </w:tc>
        <w:tc>
          <w:tcPr>
            <w:tcW w:w="0" w:type="auto"/>
            <w:vAlign w:val="center"/>
            <w:hideMark/>
          </w:tcPr>
          <w:p w:rsidR="008C42C4" w:rsidRDefault="00D573A2">
            <w:r>
              <w:t>186</w:t>
            </w:r>
          </w:p>
        </w:tc>
      </w:tr>
      <w:tr w:rsidR="008C42C4">
        <w:trPr>
          <w:trHeight w:val="750"/>
          <w:tblCellSpacing w:w="0" w:type="dxa"/>
        </w:trPr>
        <w:tc>
          <w:tcPr>
            <w:tcW w:w="0" w:type="auto"/>
            <w:vAlign w:val="center"/>
            <w:hideMark/>
          </w:tcPr>
          <w:p w:rsidR="008C42C4" w:rsidRPr="00D573A2" w:rsidRDefault="00D573A2">
            <w:pPr>
              <w:pStyle w:val="a3"/>
            </w:pPr>
            <w:r w:rsidRPr="00D573A2">
              <w:t>Страны</w:t>
            </w:r>
          </w:p>
          <w:p w:rsidR="008C42C4" w:rsidRPr="00D573A2" w:rsidRDefault="00D573A2">
            <w:pPr>
              <w:pStyle w:val="a3"/>
            </w:pPr>
            <w:r w:rsidRPr="00D573A2">
              <w:t>Европейского</w:t>
            </w:r>
          </w:p>
          <w:p w:rsidR="008C42C4" w:rsidRPr="00D573A2" w:rsidRDefault="00D573A2">
            <w:pPr>
              <w:pStyle w:val="a3"/>
            </w:pPr>
            <w:r w:rsidRPr="00D573A2">
              <w:t>союза</w:t>
            </w:r>
          </w:p>
        </w:tc>
        <w:tc>
          <w:tcPr>
            <w:tcW w:w="0" w:type="auto"/>
            <w:vAlign w:val="center"/>
            <w:hideMark/>
          </w:tcPr>
          <w:p w:rsidR="008C42C4" w:rsidRDefault="00D573A2">
            <w:r>
              <w:t>34,0</w:t>
            </w:r>
          </w:p>
        </w:tc>
        <w:tc>
          <w:tcPr>
            <w:tcW w:w="0" w:type="auto"/>
            <w:vAlign w:val="center"/>
            <w:hideMark/>
          </w:tcPr>
          <w:p w:rsidR="008C42C4" w:rsidRDefault="00D573A2">
            <w:r>
              <w:t>56,1</w:t>
            </w:r>
          </w:p>
        </w:tc>
        <w:tc>
          <w:tcPr>
            <w:tcW w:w="0" w:type="auto"/>
            <w:vAlign w:val="center"/>
            <w:hideMark/>
          </w:tcPr>
          <w:p w:rsidR="008C42C4" w:rsidRDefault="00D573A2">
            <w:r>
              <w:t>-217</w:t>
            </w:r>
          </w:p>
        </w:tc>
        <w:tc>
          <w:tcPr>
            <w:tcW w:w="0" w:type="auto"/>
            <w:vAlign w:val="center"/>
            <w:hideMark/>
          </w:tcPr>
          <w:p w:rsidR="008C42C4" w:rsidRDefault="00D573A2">
            <w:r>
              <w:t>140</w:t>
            </w:r>
          </w:p>
        </w:tc>
      </w:tr>
    </w:tbl>
    <w:p w:rsidR="008C42C4" w:rsidRPr="00D573A2" w:rsidRDefault="00D573A2">
      <w:pPr>
        <w:pStyle w:val="a3"/>
      </w:pPr>
      <w:r>
        <w:t>*Источник: обобщено авторами на основе данных Всемирной Торговой Организации: www.wto.org</w:t>
      </w:r>
    </w:p>
    <w:p w:rsidR="008C42C4" w:rsidRDefault="00D573A2">
      <w:pPr>
        <w:pStyle w:val="a3"/>
      </w:pPr>
      <w:r>
        <w:t>Потребители и производители благ оказываются крайне разобщены в современном мире. Кроме того, развитые страны Запада пребывают в состоянии превышения объёмов потребления над объёмами производства по отдельным видам товаров. Классики идей постиндустриального общества в разных формах видели будущее, но сходились в одном: развитие техники и технологий достигнет такого уровня, что массовое производство будет осуществляться исключительно машинным способом (не только создание продукта, но и его разработка). Возникающая в связи с этим масштабная структурно-технологическая безработица выводит людей из сферы производства почти полностью и предоставляет им массу свободного времени, которое они могут потратить на занятия творчеством и интеллектуально-физическое совершенствование .</w:t>
      </w:r>
    </w:p>
    <w:p w:rsidR="008C42C4" w:rsidRDefault="00D573A2">
      <w:pPr>
        <w:pStyle w:val="a3"/>
      </w:pPr>
      <w:r>
        <w:t>Нынешнее же развитие мировой экономики по своему качеству далеко отстоит от ранее описанных схем. Секторальная структура развитых экономик сложилась не по самоподдерживающемуся принципу: вынесенная во вне база промышленности перераспределила внутренние, прежде всего, трудовые ресурсы в пользу сферы услуг. А масштаб современной сферы услуг не есть результат её сугубо необходимого с точки зрения общества развития. Она является во многом нестабильным образованием, вместилищем избыточных трудовых ресурсов, ранее занятых промышленным и сельскохозяйственным производством. Кроме того, выглядит достаточно спорным тезис о том, что каждый человек талантлив настолько, чтобы в соответствии с ранее описанными представлениями общество сочло его творческую деятельность полезной для себя и предъявляло платёжеспособный спрос на всякий продукт его труда.</w:t>
      </w:r>
    </w:p>
    <w:p w:rsidR="008C42C4" w:rsidRDefault="00D573A2">
      <w:pPr>
        <w:pStyle w:val="a3"/>
      </w:pPr>
      <w:r>
        <w:t>Иначе говоря, процесс усиления роли сферы услуг не следствие оформления некоего зародившегося нового, принципиально отличающегося от всего ранее известного содержания, а лишь проявление типового экономического сценария - обнаружение некоторой более рентабельной (часто - просто менее затратной) сферы приложения капитала вызывает отказ от менее привлекательных как уже осуществляющихся, так и только предлагаемых к исполнению проектов. Аналогичный пример можно найти в истории народного хозяйства СССР: в результате арабо-израильской войны (06.10.197324.10.1973) группа ближневосточных стран-экспортёров нефти установила эмбарго на экспорт нефти в страны, поддержавшие сторону Израиля. Под ограничение в той или иной степени попали почти все развитые страны Запада и, в первую очередь, США. Рыночная конъюнктура в ситуации превышения спросом резко сократившегося предложения обусловила почти четырёхкратный скачок мировых цен на нефть (в ценах 2011 года - с $16,7 до $52,9 за баррель) [8]. Последствия для ритма работы мирового хозяйства по своему негативному воздействию оказались крайне тяжёлыми - это событие выявило, насколько глубока зависимость экономик развитых стран от поставок сырья. В условиях произошедшего в середине 1970-х годов небывалого роста практически достижимой рентабельности в торговле нефтью разработка месторождений стала выгодной и в советской Западной Сибири, в том числе в заполярных труднодоступных областях. Экспорт нефти из СССР в связи с этим почти удвоился, продажи природного газа возросли более чем в 16 раз [9]. Предпринятая в середине 1960-х годов в СССР А.Н. Косыгиным попытка реформировать советское хозяйство с внедрением (пусть и ограниченным) рыночных механизмов и стимулов к труду была отвергнута консервативно-пассивным руководством страны в пользу тактически более простого пути решения всех проблем «лёгкими» деньгами. С этого периода началась эпоха предпочтения оплаты импорта товаров широкой номенклатуры поступлениями от торговли топливно-энергетическими ресурсами, нежели развития собственной промышленности. Этим объясняется то, что и в России и во многих других странах, в т. ч. развитых, торговля занимает далеко не самое последнее место в структуре сферы услуг. Например, в списке крупнейших компаний мира по объёму доходов в тройке лидеров стабильно последние 8 лет (из них 5 - на первом месте) находится американская ТНК розничной торговли Wal-Mart Stores (в 2012 году доход составил почти 470 млрд долл.), уступая периодически лидерство лишь нефтегазовым компаниям [10].</w:t>
      </w:r>
    </w:p>
    <w:p w:rsidR="008C42C4" w:rsidRDefault="00D573A2">
      <w:pPr>
        <w:pStyle w:val="a3"/>
      </w:pPr>
      <w:r>
        <w:t>Нестабильность сферы услуг в развитых экономиках прослеживается на основе анализа данных о безработице, табл. 2. При малейшем неблагоприятном колебании экономического цикла наибольшее количество увольнений происходит именно в сфере услуг: в 2009 году в большинстве отраслей данного сектора безработица составляла не менее 8-9% (а в сумме - почти 8 млн человек). Но даже в 2011 году число безработных в частном секторе в сфере услуг было втрое выше, чем в промышленности, и в 41 раз больше, чем в сельском хозяйстве. Если бы американское руководство стремилось бы не допустить в своё время массовый отток рабочей силы из сферы производства, то явные негативные социально-экономические последствия второй половины 2000-х можно было бы существенно сгладить.</w:t>
      </w:r>
    </w:p>
    <w:p w:rsidR="008C42C4" w:rsidRDefault="00D573A2">
      <w:pPr>
        <w:pStyle w:val="a3"/>
      </w:pPr>
      <w:r>
        <w:t>Таблица 2</w:t>
      </w:r>
    </w:p>
    <w:p w:rsidR="008C42C4" w:rsidRDefault="00D573A2">
      <w:pPr>
        <w:pStyle w:val="a3"/>
      </w:pPr>
      <w:r>
        <w:t>Отраслевые показатели безработицы в США в 2011 году</w:t>
      </w:r>
    </w:p>
    <w:p w:rsidR="008C42C4" w:rsidRDefault="00D573A2">
      <w:pPr>
        <w:pStyle w:val="a3"/>
      </w:pPr>
      <w:r>
        <w:t> </w:t>
      </w:r>
    </w:p>
    <w:tbl>
      <w:tblPr>
        <w:tblW w:w="0" w:type="auto"/>
        <w:tblCellSpacing w:w="0" w:type="dxa"/>
        <w:tblCellMar>
          <w:left w:w="0" w:type="dxa"/>
          <w:right w:w="0" w:type="dxa"/>
        </w:tblCellMar>
        <w:tblLook w:val="04A0" w:firstRow="1" w:lastRow="0" w:firstColumn="1" w:lastColumn="0" w:noHBand="0" w:noVBand="1"/>
      </w:tblPr>
      <w:tblGrid>
        <w:gridCol w:w="480"/>
        <w:gridCol w:w="240"/>
        <w:gridCol w:w="240"/>
        <w:gridCol w:w="480"/>
        <w:gridCol w:w="480"/>
      </w:tblGrid>
      <w:tr w:rsidR="008C42C4">
        <w:trPr>
          <w:trHeight w:val="255"/>
          <w:tblCellSpacing w:w="0" w:type="dxa"/>
        </w:trPr>
        <w:tc>
          <w:tcPr>
            <w:tcW w:w="0" w:type="auto"/>
            <w:vMerge w:val="restart"/>
            <w:vAlign w:val="center"/>
            <w:hideMark/>
          </w:tcPr>
          <w:p w:rsidR="008C42C4" w:rsidRDefault="00D573A2">
            <w:r>
              <w:t>Отрасль экономики</w:t>
            </w:r>
          </w:p>
        </w:tc>
        <w:tc>
          <w:tcPr>
            <w:tcW w:w="0" w:type="auto"/>
            <w:gridSpan w:val="2"/>
            <w:vAlign w:val="center"/>
            <w:hideMark/>
          </w:tcPr>
          <w:p w:rsidR="008C42C4" w:rsidRDefault="00D573A2">
            <w:r>
              <w:t>2009</w:t>
            </w:r>
          </w:p>
        </w:tc>
        <w:tc>
          <w:tcPr>
            <w:tcW w:w="0" w:type="auto"/>
            <w:gridSpan w:val="2"/>
            <w:vAlign w:val="center"/>
            <w:hideMark/>
          </w:tcPr>
          <w:p w:rsidR="008C42C4" w:rsidRDefault="00D573A2">
            <w:r>
              <w:t>2011</w:t>
            </w:r>
          </w:p>
        </w:tc>
      </w:tr>
      <w:tr w:rsidR="008C42C4">
        <w:trPr>
          <w:trHeight w:val="240"/>
          <w:tblCellSpacing w:w="0" w:type="dxa"/>
        </w:trPr>
        <w:tc>
          <w:tcPr>
            <w:tcW w:w="0" w:type="auto"/>
            <w:vMerge/>
            <w:vAlign w:val="center"/>
            <w:hideMark/>
          </w:tcPr>
          <w:p w:rsidR="008C42C4" w:rsidRDefault="008C42C4"/>
        </w:tc>
        <w:tc>
          <w:tcPr>
            <w:tcW w:w="0" w:type="auto"/>
            <w:vAlign w:val="center"/>
            <w:hideMark/>
          </w:tcPr>
          <w:p w:rsidR="008C42C4" w:rsidRDefault="00D573A2">
            <w:r>
              <w:t>тыс. чел.</w:t>
            </w:r>
          </w:p>
        </w:tc>
        <w:tc>
          <w:tcPr>
            <w:tcW w:w="0" w:type="auto"/>
            <w:vAlign w:val="center"/>
            <w:hideMark/>
          </w:tcPr>
          <w:p w:rsidR="008C42C4" w:rsidRDefault="00D573A2">
            <w:r>
              <w:t>%</w:t>
            </w:r>
          </w:p>
        </w:tc>
        <w:tc>
          <w:tcPr>
            <w:tcW w:w="0" w:type="auto"/>
            <w:vAlign w:val="center"/>
            <w:hideMark/>
          </w:tcPr>
          <w:p w:rsidR="008C42C4" w:rsidRDefault="00D573A2">
            <w:r>
              <w:t>тыс. чел.</w:t>
            </w:r>
          </w:p>
        </w:tc>
        <w:tc>
          <w:tcPr>
            <w:tcW w:w="0" w:type="auto"/>
            <w:vAlign w:val="center"/>
            <w:hideMark/>
          </w:tcPr>
          <w:p w:rsidR="008C42C4" w:rsidRDefault="00D573A2">
            <w:r>
              <w:t>%</w:t>
            </w:r>
          </w:p>
        </w:tc>
      </w:tr>
      <w:tr w:rsidR="008C42C4">
        <w:trPr>
          <w:trHeight w:val="240"/>
          <w:tblCellSpacing w:w="0" w:type="dxa"/>
        </w:trPr>
        <w:tc>
          <w:tcPr>
            <w:tcW w:w="0" w:type="auto"/>
            <w:vAlign w:val="center"/>
            <w:hideMark/>
          </w:tcPr>
          <w:p w:rsidR="008C42C4" w:rsidRDefault="00D573A2">
            <w:r>
              <w:t>Гос. сектор</w:t>
            </w:r>
          </w:p>
        </w:tc>
        <w:tc>
          <w:tcPr>
            <w:tcW w:w="0" w:type="auto"/>
            <w:vAlign w:val="center"/>
            <w:hideMark/>
          </w:tcPr>
          <w:p w:rsidR="008C42C4" w:rsidRDefault="00D573A2">
            <w:r>
              <w:t>799</w:t>
            </w:r>
          </w:p>
        </w:tc>
        <w:tc>
          <w:tcPr>
            <w:tcW w:w="0" w:type="auto"/>
            <w:vAlign w:val="center"/>
            <w:hideMark/>
          </w:tcPr>
          <w:p w:rsidR="008C42C4" w:rsidRDefault="00D573A2">
            <w:r>
              <w:t>3,6%</w:t>
            </w:r>
          </w:p>
        </w:tc>
        <w:tc>
          <w:tcPr>
            <w:tcW w:w="0" w:type="auto"/>
            <w:vAlign w:val="center"/>
            <w:hideMark/>
          </w:tcPr>
          <w:p w:rsidR="008C42C4" w:rsidRDefault="00D573A2">
            <w:r>
              <w:t>1013</w:t>
            </w:r>
          </w:p>
        </w:tc>
        <w:tc>
          <w:tcPr>
            <w:tcW w:w="0" w:type="auto"/>
            <w:vAlign w:val="center"/>
            <w:hideMark/>
          </w:tcPr>
          <w:p w:rsidR="008C42C4" w:rsidRDefault="00D573A2">
            <w:r>
              <w:t>4,7%</w:t>
            </w:r>
          </w:p>
        </w:tc>
      </w:tr>
      <w:tr w:rsidR="008C42C4">
        <w:trPr>
          <w:trHeight w:val="240"/>
          <w:tblCellSpacing w:w="0" w:type="dxa"/>
        </w:trPr>
        <w:tc>
          <w:tcPr>
            <w:tcW w:w="0" w:type="auto"/>
            <w:vAlign w:val="center"/>
            <w:hideMark/>
          </w:tcPr>
          <w:p w:rsidR="008C42C4" w:rsidRDefault="00D573A2">
            <w:r>
              <w:t>Частный сектор</w:t>
            </w:r>
          </w:p>
        </w:tc>
        <w:tc>
          <w:tcPr>
            <w:tcW w:w="0" w:type="auto"/>
            <w:vAlign w:val="center"/>
            <w:hideMark/>
          </w:tcPr>
          <w:p w:rsidR="008C42C4" w:rsidRDefault="00D573A2">
            <w:r>
              <w:t>12230</w:t>
            </w:r>
          </w:p>
        </w:tc>
        <w:tc>
          <w:tcPr>
            <w:tcW w:w="0" w:type="auto"/>
            <w:vAlign w:val="center"/>
            <w:hideMark/>
          </w:tcPr>
          <w:p w:rsidR="008C42C4" w:rsidRDefault="00D573A2">
            <w:r>
              <w:t> </w:t>
            </w:r>
          </w:p>
        </w:tc>
        <w:tc>
          <w:tcPr>
            <w:tcW w:w="0" w:type="auto"/>
            <w:vAlign w:val="center"/>
            <w:hideMark/>
          </w:tcPr>
          <w:p w:rsidR="008C42C4" w:rsidRDefault="00D573A2">
            <w:r>
              <w:t>11260</w:t>
            </w:r>
          </w:p>
        </w:tc>
        <w:tc>
          <w:tcPr>
            <w:tcW w:w="0" w:type="auto"/>
            <w:vAlign w:val="center"/>
            <w:hideMark/>
          </w:tcPr>
          <w:p w:rsidR="008C42C4" w:rsidRDefault="00D573A2">
            <w:r>
              <w:t> </w:t>
            </w:r>
          </w:p>
        </w:tc>
      </w:tr>
      <w:tr w:rsidR="008C42C4">
        <w:trPr>
          <w:trHeight w:val="240"/>
          <w:tblCellSpacing w:w="0" w:type="dxa"/>
        </w:trPr>
        <w:tc>
          <w:tcPr>
            <w:tcW w:w="0" w:type="auto"/>
            <w:vAlign w:val="center"/>
            <w:hideMark/>
          </w:tcPr>
          <w:p w:rsidR="008C42C4" w:rsidRDefault="00D573A2">
            <w:r>
              <w:t>в т.ч.</w:t>
            </w:r>
          </w:p>
        </w:tc>
        <w:tc>
          <w:tcPr>
            <w:tcW w:w="0" w:type="auto"/>
            <w:gridSpan w:val="4"/>
            <w:vAlign w:val="center"/>
            <w:hideMark/>
          </w:tcPr>
          <w:p w:rsidR="008C42C4" w:rsidRDefault="00D573A2">
            <w:r>
              <w:t> </w:t>
            </w:r>
          </w:p>
        </w:tc>
      </w:tr>
      <w:tr w:rsidR="008C42C4">
        <w:trPr>
          <w:trHeight w:val="480"/>
          <w:tblCellSpacing w:w="0" w:type="dxa"/>
        </w:trPr>
        <w:tc>
          <w:tcPr>
            <w:tcW w:w="0" w:type="auto"/>
            <w:vAlign w:val="center"/>
            <w:hideMark/>
          </w:tcPr>
          <w:p w:rsidR="008C42C4" w:rsidRDefault="00D573A2">
            <w:r>
              <w:t>Сельское хозяйство и связанные с ним пр-ва</w:t>
            </w:r>
          </w:p>
        </w:tc>
        <w:tc>
          <w:tcPr>
            <w:tcW w:w="0" w:type="auto"/>
            <w:vAlign w:val="center"/>
            <w:hideMark/>
          </w:tcPr>
          <w:p w:rsidR="008C42C4" w:rsidRDefault="00D573A2">
            <w:r>
              <w:t>200</w:t>
            </w:r>
          </w:p>
        </w:tc>
        <w:tc>
          <w:tcPr>
            <w:tcW w:w="0" w:type="auto"/>
            <w:vAlign w:val="center"/>
            <w:hideMark/>
          </w:tcPr>
          <w:p w:rsidR="008C42C4" w:rsidRDefault="00D573A2">
            <w:r>
              <w:t>14,3%</w:t>
            </w:r>
          </w:p>
        </w:tc>
        <w:tc>
          <w:tcPr>
            <w:tcW w:w="0" w:type="auto"/>
            <w:vAlign w:val="center"/>
            <w:hideMark/>
          </w:tcPr>
          <w:p w:rsidR="008C42C4" w:rsidRDefault="00D573A2">
            <w:r>
              <w:t>190</w:t>
            </w:r>
          </w:p>
        </w:tc>
        <w:tc>
          <w:tcPr>
            <w:tcW w:w="0" w:type="auto"/>
            <w:vAlign w:val="center"/>
            <w:hideMark/>
          </w:tcPr>
          <w:p w:rsidR="008C42C4" w:rsidRDefault="00D573A2">
            <w:r>
              <w:t>12,5%</w:t>
            </w:r>
          </w:p>
        </w:tc>
      </w:tr>
      <w:tr w:rsidR="008C42C4">
        <w:trPr>
          <w:trHeight w:val="480"/>
          <w:tblCellSpacing w:w="0" w:type="dxa"/>
        </w:trPr>
        <w:tc>
          <w:tcPr>
            <w:tcW w:w="0" w:type="auto"/>
            <w:vAlign w:val="center"/>
            <w:hideMark/>
          </w:tcPr>
          <w:p w:rsidR="008C42C4" w:rsidRDefault="00D573A2">
            <w:r>
              <w:t>Горнодобывающая промышленность, нефте- и газодобыча</w:t>
            </w:r>
          </w:p>
        </w:tc>
        <w:tc>
          <w:tcPr>
            <w:tcW w:w="0" w:type="auto"/>
            <w:vAlign w:val="center"/>
            <w:hideMark/>
          </w:tcPr>
          <w:p w:rsidR="008C42C4" w:rsidRDefault="00D573A2">
            <w:r>
              <w:t>90</w:t>
            </w:r>
          </w:p>
        </w:tc>
        <w:tc>
          <w:tcPr>
            <w:tcW w:w="0" w:type="auto"/>
            <w:vAlign w:val="center"/>
            <w:hideMark/>
          </w:tcPr>
          <w:p w:rsidR="008C42C4" w:rsidRDefault="00D573A2">
            <w:r>
              <w:t>11,6%</w:t>
            </w:r>
          </w:p>
        </w:tc>
        <w:tc>
          <w:tcPr>
            <w:tcW w:w="0" w:type="auto"/>
            <w:vAlign w:val="center"/>
            <w:hideMark/>
          </w:tcPr>
          <w:p w:rsidR="008C42C4" w:rsidRDefault="00D573A2">
            <w:r>
              <w:t>52</w:t>
            </w:r>
          </w:p>
        </w:tc>
        <w:tc>
          <w:tcPr>
            <w:tcW w:w="0" w:type="auto"/>
            <w:vAlign w:val="center"/>
            <w:hideMark/>
          </w:tcPr>
          <w:p w:rsidR="008C42C4" w:rsidRDefault="00D573A2">
            <w:r>
              <w:t>6,1%</w:t>
            </w:r>
          </w:p>
        </w:tc>
      </w:tr>
      <w:tr w:rsidR="008C42C4">
        <w:trPr>
          <w:trHeight w:val="315"/>
          <w:tblCellSpacing w:w="0" w:type="dxa"/>
        </w:trPr>
        <w:tc>
          <w:tcPr>
            <w:tcW w:w="0" w:type="auto"/>
            <w:vAlign w:val="center"/>
            <w:hideMark/>
          </w:tcPr>
          <w:p w:rsidR="008C42C4" w:rsidRDefault="00D573A2">
            <w:r>
              <w:t>Строительство</w:t>
            </w:r>
          </w:p>
        </w:tc>
        <w:tc>
          <w:tcPr>
            <w:tcW w:w="0" w:type="auto"/>
            <w:vAlign w:val="center"/>
            <w:hideMark/>
          </w:tcPr>
          <w:p w:rsidR="008C42C4" w:rsidRDefault="00D573A2">
            <w:r>
              <w:t>1770</w:t>
            </w:r>
          </w:p>
        </w:tc>
        <w:tc>
          <w:tcPr>
            <w:tcW w:w="0" w:type="auto"/>
            <w:vAlign w:val="center"/>
            <w:hideMark/>
          </w:tcPr>
          <w:p w:rsidR="008C42C4" w:rsidRDefault="00D573A2">
            <w:r>
              <w:t>19,0%</w:t>
            </w:r>
          </w:p>
        </w:tc>
        <w:tc>
          <w:tcPr>
            <w:tcW w:w="0" w:type="auto"/>
            <w:vAlign w:val="center"/>
            <w:hideMark/>
          </w:tcPr>
          <w:p w:rsidR="008C42C4" w:rsidRDefault="00D573A2">
            <w:r>
              <w:t>1383</w:t>
            </w:r>
          </w:p>
        </w:tc>
        <w:tc>
          <w:tcPr>
            <w:tcW w:w="0" w:type="auto"/>
            <w:vAlign w:val="center"/>
            <w:hideMark/>
          </w:tcPr>
          <w:p w:rsidR="008C42C4" w:rsidRDefault="00D573A2">
            <w:r>
              <w:t>16,4%</w:t>
            </w:r>
          </w:p>
        </w:tc>
      </w:tr>
      <w:tr w:rsidR="008C42C4">
        <w:trPr>
          <w:trHeight w:val="315"/>
          <w:tblCellSpacing w:w="0" w:type="dxa"/>
        </w:trPr>
        <w:tc>
          <w:tcPr>
            <w:tcW w:w="0" w:type="auto"/>
            <w:vAlign w:val="center"/>
            <w:hideMark/>
          </w:tcPr>
          <w:p w:rsidR="008C42C4" w:rsidRDefault="00D573A2">
            <w:r>
              <w:t>Промышл. производство</w:t>
            </w:r>
          </w:p>
        </w:tc>
        <w:tc>
          <w:tcPr>
            <w:tcW w:w="0" w:type="auto"/>
            <w:vAlign w:val="center"/>
            <w:hideMark/>
          </w:tcPr>
          <w:p w:rsidR="008C42C4" w:rsidRDefault="00D573A2">
            <w:r>
              <w:t>1890</w:t>
            </w:r>
          </w:p>
        </w:tc>
        <w:tc>
          <w:tcPr>
            <w:tcW w:w="0" w:type="auto"/>
            <w:vAlign w:val="center"/>
            <w:hideMark/>
          </w:tcPr>
          <w:p w:rsidR="008C42C4" w:rsidRDefault="00D573A2">
            <w:r>
              <w:t>12,1%</w:t>
            </w:r>
          </w:p>
        </w:tc>
        <w:tc>
          <w:tcPr>
            <w:tcW w:w="0" w:type="auto"/>
            <w:vAlign w:val="center"/>
            <w:hideMark/>
          </w:tcPr>
          <w:p w:rsidR="008C42C4" w:rsidRDefault="00D573A2">
            <w:r>
              <w:t>1373</w:t>
            </w:r>
          </w:p>
        </w:tc>
        <w:tc>
          <w:tcPr>
            <w:tcW w:w="0" w:type="auto"/>
            <w:vAlign w:val="center"/>
            <w:hideMark/>
          </w:tcPr>
          <w:p w:rsidR="008C42C4" w:rsidRDefault="00D573A2">
            <w:r>
              <w:t>9,0%</w:t>
            </w:r>
          </w:p>
        </w:tc>
      </w:tr>
      <w:tr w:rsidR="008C42C4">
        <w:trPr>
          <w:trHeight w:val="315"/>
          <w:tblCellSpacing w:w="0" w:type="dxa"/>
        </w:trPr>
        <w:tc>
          <w:tcPr>
            <w:tcW w:w="0" w:type="auto"/>
            <w:vAlign w:val="center"/>
            <w:hideMark/>
          </w:tcPr>
          <w:p w:rsidR="008C42C4" w:rsidRDefault="00D573A2">
            <w:r>
              <w:t>Торговля</w:t>
            </w:r>
          </w:p>
        </w:tc>
        <w:tc>
          <w:tcPr>
            <w:tcW w:w="0" w:type="auto"/>
            <w:vAlign w:val="center"/>
            <w:hideMark/>
          </w:tcPr>
          <w:p w:rsidR="008C42C4" w:rsidRDefault="00D573A2">
            <w:r>
              <w:t>1844</w:t>
            </w:r>
          </w:p>
        </w:tc>
        <w:tc>
          <w:tcPr>
            <w:tcW w:w="0" w:type="auto"/>
            <w:vAlign w:val="center"/>
            <w:hideMark/>
          </w:tcPr>
          <w:p w:rsidR="008C42C4" w:rsidRDefault="00D573A2">
            <w:r>
              <w:t>9,0%</w:t>
            </w:r>
          </w:p>
        </w:tc>
        <w:tc>
          <w:tcPr>
            <w:tcW w:w="0" w:type="auto"/>
            <w:vAlign w:val="center"/>
            <w:hideMark/>
          </w:tcPr>
          <w:p w:rsidR="008C42C4" w:rsidRDefault="00D573A2">
            <w:r>
              <w:t>1834</w:t>
            </w:r>
          </w:p>
        </w:tc>
        <w:tc>
          <w:tcPr>
            <w:tcW w:w="0" w:type="auto"/>
            <w:vAlign w:val="center"/>
            <w:hideMark/>
          </w:tcPr>
          <w:p w:rsidR="008C42C4" w:rsidRDefault="00D573A2">
            <w:r>
              <w:t>8,9%</w:t>
            </w:r>
          </w:p>
        </w:tc>
      </w:tr>
      <w:tr w:rsidR="008C42C4">
        <w:trPr>
          <w:trHeight w:val="315"/>
          <w:tblCellSpacing w:w="0" w:type="dxa"/>
        </w:trPr>
        <w:tc>
          <w:tcPr>
            <w:tcW w:w="0" w:type="auto"/>
            <w:vAlign w:val="center"/>
            <w:hideMark/>
          </w:tcPr>
          <w:p w:rsidR="008C42C4" w:rsidRDefault="00D573A2">
            <w:r>
              <w:t>Транспорт и комм. хоз-во</w:t>
            </w:r>
          </w:p>
        </w:tc>
        <w:tc>
          <w:tcPr>
            <w:tcW w:w="0" w:type="auto"/>
            <w:vAlign w:val="center"/>
            <w:hideMark/>
          </w:tcPr>
          <w:p w:rsidR="008C42C4" w:rsidRDefault="00D573A2">
            <w:r>
              <w:t>525</w:t>
            </w:r>
          </w:p>
        </w:tc>
        <w:tc>
          <w:tcPr>
            <w:tcW w:w="0" w:type="auto"/>
            <w:vAlign w:val="center"/>
            <w:hideMark/>
          </w:tcPr>
          <w:p w:rsidR="008C42C4" w:rsidRDefault="00D573A2">
            <w:r>
              <w:t>8,9%</w:t>
            </w:r>
          </w:p>
        </w:tc>
        <w:tc>
          <w:tcPr>
            <w:tcW w:w="0" w:type="auto"/>
            <w:vAlign w:val="center"/>
            <w:hideMark/>
          </w:tcPr>
          <w:p w:rsidR="008C42C4" w:rsidRDefault="00D573A2">
            <w:r>
              <w:t>484</w:t>
            </w:r>
          </w:p>
        </w:tc>
        <w:tc>
          <w:tcPr>
            <w:tcW w:w="0" w:type="auto"/>
            <w:vAlign w:val="center"/>
            <w:hideMark/>
          </w:tcPr>
          <w:p w:rsidR="008C42C4" w:rsidRDefault="00D573A2">
            <w:r>
              <w:t>8,2%</w:t>
            </w:r>
          </w:p>
        </w:tc>
      </w:tr>
      <w:tr w:rsidR="008C42C4">
        <w:trPr>
          <w:trHeight w:val="315"/>
          <w:tblCellSpacing w:w="0" w:type="dxa"/>
        </w:trPr>
        <w:tc>
          <w:tcPr>
            <w:tcW w:w="0" w:type="auto"/>
            <w:vAlign w:val="center"/>
            <w:hideMark/>
          </w:tcPr>
          <w:p w:rsidR="008C42C4" w:rsidRDefault="00D573A2">
            <w:r>
              <w:t>Информационные услуги</w:t>
            </w:r>
          </w:p>
        </w:tc>
        <w:tc>
          <w:tcPr>
            <w:tcW w:w="0" w:type="auto"/>
            <w:vAlign w:val="center"/>
            <w:hideMark/>
          </w:tcPr>
          <w:p w:rsidR="008C42C4" w:rsidRDefault="00D573A2">
            <w:r>
              <w:t>294</w:t>
            </w:r>
          </w:p>
        </w:tc>
        <w:tc>
          <w:tcPr>
            <w:tcW w:w="0" w:type="auto"/>
            <w:vAlign w:val="center"/>
            <w:hideMark/>
          </w:tcPr>
          <w:p w:rsidR="008C42C4" w:rsidRDefault="00D573A2">
            <w:r>
              <w:t>9,2%</w:t>
            </w:r>
          </w:p>
        </w:tc>
        <w:tc>
          <w:tcPr>
            <w:tcW w:w="0" w:type="auto"/>
            <w:vAlign w:val="center"/>
            <w:hideMark/>
          </w:tcPr>
          <w:p w:rsidR="008C42C4" w:rsidRDefault="00D573A2">
            <w:r>
              <w:t>222</w:t>
            </w:r>
          </w:p>
        </w:tc>
        <w:tc>
          <w:tcPr>
            <w:tcW w:w="0" w:type="auto"/>
            <w:vAlign w:val="center"/>
            <w:hideMark/>
          </w:tcPr>
          <w:p w:rsidR="008C42C4" w:rsidRDefault="00D573A2">
            <w:r>
              <w:t>7,3%</w:t>
            </w:r>
          </w:p>
        </w:tc>
      </w:tr>
      <w:tr w:rsidR="008C42C4">
        <w:trPr>
          <w:trHeight w:val="315"/>
          <w:tblCellSpacing w:w="0" w:type="dxa"/>
        </w:trPr>
        <w:tc>
          <w:tcPr>
            <w:tcW w:w="0" w:type="auto"/>
            <w:vAlign w:val="center"/>
            <w:hideMark/>
          </w:tcPr>
          <w:p w:rsidR="008C42C4" w:rsidRDefault="00D573A2">
            <w:r>
              <w:t>Финансовые услуги</w:t>
            </w:r>
          </w:p>
        </w:tc>
        <w:tc>
          <w:tcPr>
            <w:tcW w:w="0" w:type="auto"/>
            <w:vAlign w:val="center"/>
            <w:hideMark/>
          </w:tcPr>
          <w:p w:rsidR="008C42C4" w:rsidRDefault="00D573A2">
            <w:r>
              <w:t>598</w:t>
            </w:r>
          </w:p>
        </w:tc>
        <w:tc>
          <w:tcPr>
            <w:tcW w:w="0" w:type="auto"/>
            <w:vAlign w:val="center"/>
            <w:hideMark/>
          </w:tcPr>
          <w:p w:rsidR="008C42C4" w:rsidRDefault="00D573A2">
            <w:r>
              <w:t>6,4%</w:t>
            </w:r>
          </w:p>
        </w:tc>
        <w:tc>
          <w:tcPr>
            <w:tcW w:w="0" w:type="auto"/>
            <w:vAlign w:val="center"/>
            <w:hideMark/>
          </w:tcPr>
          <w:p w:rsidR="008C42C4" w:rsidRDefault="00D573A2">
            <w:r>
              <w:t>582</w:t>
            </w:r>
          </w:p>
        </w:tc>
        <w:tc>
          <w:tcPr>
            <w:tcW w:w="0" w:type="auto"/>
            <w:vAlign w:val="center"/>
            <w:hideMark/>
          </w:tcPr>
          <w:p w:rsidR="008C42C4" w:rsidRDefault="00D573A2">
            <w:r>
              <w:t>6,4%</w:t>
            </w:r>
          </w:p>
        </w:tc>
      </w:tr>
      <w:tr w:rsidR="008C42C4">
        <w:trPr>
          <w:trHeight w:val="315"/>
          <w:tblCellSpacing w:w="0" w:type="dxa"/>
        </w:trPr>
        <w:tc>
          <w:tcPr>
            <w:tcW w:w="0" w:type="auto"/>
            <w:vAlign w:val="center"/>
            <w:hideMark/>
          </w:tcPr>
          <w:p w:rsidR="008C42C4" w:rsidRDefault="00D573A2">
            <w:r>
              <w:t>Проф. и бизнес-услуги</w:t>
            </w:r>
          </w:p>
        </w:tc>
        <w:tc>
          <w:tcPr>
            <w:tcW w:w="0" w:type="auto"/>
            <w:vAlign w:val="center"/>
            <w:hideMark/>
          </w:tcPr>
          <w:p w:rsidR="008C42C4" w:rsidRDefault="00D573A2">
            <w:r>
              <w:t>1522</w:t>
            </w:r>
          </w:p>
        </w:tc>
        <w:tc>
          <w:tcPr>
            <w:tcW w:w="0" w:type="auto"/>
            <w:vAlign w:val="center"/>
            <w:hideMark/>
          </w:tcPr>
          <w:p w:rsidR="008C42C4" w:rsidRDefault="00D573A2">
            <w:r>
              <w:t>10,8%</w:t>
            </w:r>
          </w:p>
        </w:tc>
        <w:tc>
          <w:tcPr>
            <w:tcW w:w="0" w:type="auto"/>
            <w:vAlign w:val="center"/>
            <w:hideMark/>
          </w:tcPr>
          <w:p w:rsidR="008C42C4" w:rsidRDefault="00D573A2">
            <w:r>
              <w:t>1430</w:t>
            </w:r>
          </w:p>
        </w:tc>
        <w:tc>
          <w:tcPr>
            <w:tcW w:w="0" w:type="auto"/>
            <w:vAlign w:val="center"/>
            <w:hideMark/>
          </w:tcPr>
          <w:p w:rsidR="008C42C4" w:rsidRDefault="00D573A2">
            <w:r>
              <w:t>9,7%</w:t>
            </w:r>
          </w:p>
        </w:tc>
      </w:tr>
      <w:tr w:rsidR="008C42C4">
        <w:trPr>
          <w:trHeight w:val="480"/>
          <w:tblCellSpacing w:w="0" w:type="dxa"/>
        </w:trPr>
        <w:tc>
          <w:tcPr>
            <w:tcW w:w="0" w:type="auto"/>
            <w:vAlign w:val="center"/>
            <w:hideMark/>
          </w:tcPr>
          <w:p w:rsidR="008C42C4" w:rsidRDefault="00D573A2">
            <w:r>
              <w:t>Здравоохранение и образование</w:t>
            </w:r>
          </w:p>
        </w:tc>
        <w:tc>
          <w:tcPr>
            <w:tcW w:w="0" w:type="auto"/>
            <w:vAlign w:val="center"/>
            <w:hideMark/>
          </w:tcPr>
          <w:p w:rsidR="008C42C4" w:rsidRDefault="00D573A2">
            <w:r>
              <w:t>1100</w:t>
            </w:r>
          </w:p>
        </w:tc>
        <w:tc>
          <w:tcPr>
            <w:tcW w:w="0" w:type="auto"/>
            <w:vAlign w:val="center"/>
            <w:hideMark/>
          </w:tcPr>
          <w:p w:rsidR="008C42C4" w:rsidRDefault="00D573A2">
            <w:r>
              <w:t>5,3%</w:t>
            </w:r>
          </w:p>
        </w:tc>
        <w:tc>
          <w:tcPr>
            <w:tcW w:w="0" w:type="auto"/>
            <w:vAlign w:val="center"/>
            <w:hideMark/>
          </w:tcPr>
          <w:p w:rsidR="008C42C4" w:rsidRDefault="00D573A2">
            <w:r>
              <w:t>1217</w:t>
            </w:r>
          </w:p>
        </w:tc>
        <w:tc>
          <w:tcPr>
            <w:tcW w:w="0" w:type="auto"/>
            <w:vAlign w:val="center"/>
            <w:hideMark/>
          </w:tcPr>
          <w:p w:rsidR="008C42C4" w:rsidRDefault="00D573A2">
            <w:r>
              <w:t>5,6%</w:t>
            </w:r>
          </w:p>
        </w:tc>
      </w:tr>
      <w:tr w:rsidR="008C42C4">
        <w:trPr>
          <w:trHeight w:val="315"/>
          <w:tblCellSpacing w:w="0" w:type="dxa"/>
        </w:trPr>
        <w:tc>
          <w:tcPr>
            <w:tcW w:w="0" w:type="auto"/>
            <w:vAlign w:val="center"/>
            <w:hideMark/>
          </w:tcPr>
          <w:p w:rsidR="008C42C4" w:rsidRDefault="00D573A2">
            <w:r>
              <w:t>Услуги отдыха и гостеприимства</w:t>
            </w:r>
          </w:p>
        </w:tc>
        <w:tc>
          <w:tcPr>
            <w:tcW w:w="0" w:type="auto"/>
            <w:vAlign w:val="center"/>
            <w:hideMark/>
          </w:tcPr>
          <w:p w:rsidR="008C42C4" w:rsidRDefault="00D573A2">
            <w:r>
              <w:t>1543</w:t>
            </w:r>
          </w:p>
        </w:tc>
        <w:tc>
          <w:tcPr>
            <w:tcW w:w="0" w:type="auto"/>
            <w:vAlign w:val="center"/>
            <w:hideMark/>
          </w:tcPr>
          <w:p w:rsidR="008C42C4" w:rsidRDefault="00D573A2">
            <w:r>
              <w:t>11,7%</w:t>
            </w:r>
          </w:p>
        </w:tc>
        <w:tc>
          <w:tcPr>
            <w:tcW w:w="0" w:type="auto"/>
            <w:vAlign w:val="center"/>
            <w:hideMark/>
          </w:tcPr>
          <w:p w:rsidR="008C42C4" w:rsidRDefault="00D573A2">
            <w:r>
              <w:t>1527</w:t>
            </w:r>
          </w:p>
        </w:tc>
        <w:tc>
          <w:tcPr>
            <w:tcW w:w="0" w:type="auto"/>
            <w:vAlign w:val="center"/>
            <w:hideMark/>
          </w:tcPr>
          <w:p w:rsidR="008C42C4" w:rsidRDefault="00D573A2">
            <w:r>
              <w:t>11,6%</w:t>
            </w:r>
          </w:p>
        </w:tc>
      </w:tr>
      <w:tr w:rsidR="008C42C4">
        <w:trPr>
          <w:trHeight w:val="315"/>
          <w:tblCellSpacing w:w="0" w:type="dxa"/>
        </w:trPr>
        <w:tc>
          <w:tcPr>
            <w:tcW w:w="0" w:type="auto"/>
            <w:vAlign w:val="center"/>
            <w:hideMark/>
          </w:tcPr>
          <w:p w:rsidR="008C42C4" w:rsidRDefault="00D573A2">
            <w:r>
              <w:t>Иные услуги</w:t>
            </w:r>
          </w:p>
        </w:tc>
        <w:tc>
          <w:tcPr>
            <w:tcW w:w="0" w:type="auto"/>
            <w:vAlign w:val="center"/>
            <w:hideMark/>
          </w:tcPr>
          <w:p w:rsidR="008C42C4" w:rsidRDefault="00D573A2">
            <w:r>
              <w:t>477</w:t>
            </w:r>
          </w:p>
        </w:tc>
        <w:tc>
          <w:tcPr>
            <w:tcW w:w="0" w:type="auto"/>
            <w:vAlign w:val="center"/>
            <w:hideMark/>
          </w:tcPr>
          <w:p w:rsidR="008C42C4" w:rsidRDefault="00D573A2">
            <w:r>
              <w:t>7,5%</w:t>
            </w:r>
          </w:p>
        </w:tc>
        <w:tc>
          <w:tcPr>
            <w:tcW w:w="0" w:type="auto"/>
            <w:vAlign w:val="center"/>
            <w:hideMark/>
          </w:tcPr>
          <w:p w:rsidR="008C42C4" w:rsidRDefault="00D573A2">
            <w:r>
              <w:t>551</w:t>
            </w:r>
          </w:p>
        </w:tc>
        <w:tc>
          <w:tcPr>
            <w:tcW w:w="0" w:type="auto"/>
            <w:vAlign w:val="center"/>
            <w:hideMark/>
          </w:tcPr>
          <w:p w:rsidR="008C42C4" w:rsidRDefault="00D573A2">
            <w:r>
              <w:t>8,8%</w:t>
            </w:r>
          </w:p>
        </w:tc>
      </w:tr>
      <w:tr w:rsidR="008C42C4">
        <w:trPr>
          <w:trHeight w:val="945"/>
          <w:tblCellSpacing w:w="0" w:type="dxa"/>
        </w:trPr>
        <w:tc>
          <w:tcPr>
            <w:tcW w:w="0" w:type="auto"/>
            <w:vAlign w:val="center"/>
            <w:hideMark/>
          </w:tcPr>
          <w:p w:rsidR="008C42C4" w:rsidRDefault="00D573A2">
            <w:r>
              <w:t>Самозанятое население по всем отраслям, труд вне организаций, неоплачиваемый труд членов семьи</w:t>
            </w:r>
          </w:p>
        </w:tc>
        <w:tc>
          <w:tcPr>
            <w:tcW w:w="0" w:type="auto"/>
            <w:vAlign w:val="center"/>
            <w:hideMark/>
          </w:tcPr>
          <w:p w:rsidR="008C42C4" w:rsidRDefault="00D573A2">
            <w:r>
              <w:t>577</w:t>
            </w:r>
          </w:p>
        </w:tc>
        <w:tc>
          <w:tcPr>
            <w:tcW w:w="0" w:type="auto"/>
            <w:vAlign w:val="center"/>
            <w:hideMark/>
          </w:tcPr>
          <w:p w:rsidR="008C42C4" w:rsidRDefault="00D573A2">
            <w:r>
              <w:t>5,5%</w:t>
            </w:r>
          </w:p>
        </w:tc>
        <w:tc>
          <w:tcPr>
            <w:tcW w:w="0" w:type="auto"/>
            <w:vAlign w:val="center"/>
            <w:hideMark/>
          </w:tcPr>
          <w:p w:rsidR="008C42C4" w:rsidRDefault="00D573A2">
            <w:r>
              <w:t>605</w:t>
            </w:r>
          </w:p>
        </w:tc>
        <w:tc>
          <w:tcPr>
            <w:tcW w:w="0" w:type="auto"/>
            <w:vAlign w:val="center"/>
            <w:hideMark/>
          </w:tcPr>
          <w:p w:rsidR="008C42C4" w:rsidRDefault="00D573A2">
            <w:r>
              <w:t>6,0%</w:t>
            </w:r>
          </w:p>
        </w:tc>
      </w:tr>
      <w:tr w:rsidR="008C42C4">
        <w:trPr>
          <w:trHeight w:val="345"/>
          <w:tblCellSpacing w:w="0" w:type="dxa"/>
        </w:trPr>
        <w:tc>
          <w:tcPr>
            <w:tcW w:w="0" w:type="auto"/>
            <w:vAlign w:val="center"/>
            <w:hideMark/>
          </w:tcPr>
          <w:p w:rsidR="008C42C4" w:rsidRDefault="00D573A2">
            <w:r>
              <w:t>Всего*</w:t>
            </w:r>
          </w:p>
        </w:tc>
        <w:tc>
          <w:tcPr>
            <w:tcW w:w="0" w:type="auto"/>
            <w:vAlign w:val="center"/>
            <w:hideMark/>
          </w:tcPr>
          <w:p w:rsidR="008C42C4" w:rsidRDefault="00D573A2">
            <w:r>
              <w:t>14265</w:t>
            </w:r>
          </w:p>
        </w:tc>
        <w:tc>
          <w:tcPr>
            <w:tcW w:w="0" w:type="auto"/>
            <w:vAlign w:val="center"/>
            <w:hideMark/>
          </w:tcPr>
          <w:p w:rsidR="008C42C4" w:rsidRDefault="00D573A2">
            <w:r>
              <w:t>9,3%</w:t>
            </w:r>
          </w:p>
        </w:tc>
        <w:tc>
          <w:tcPr>
            <w:tcW w:w="0" w:type="auto"/>
            <w:vAlign w:val="center"/>
            <w:hideMark/>
          </w:tcPr>
          <w:p w:rsidR="008C42C4" w:rsidRDefault="00D573A2">
            <w:r>
              <w:t>13747</w:t>
            </w:r>
          </w:p>
        </w:tc>
        <w:tc>
          <w:tcPr>
            <w:tcW w:w="0" w:type="auto"/>
            <w:vAlign w:val="center"/>
            <w:hideMark/>
          </w:tcPr>
          <w:p w:rsidR="008C42C4" w:rsidRDefault="00D573A2">
            <w:r>
              <w:t>8,9%</w:t>
            </w:r>
          </w:p>
        </w:tc>
      </w:tr>
    </w:tbl>
    <w:p w:rsidR="008C42C4" w:rsidRPr="00D573A2" w:rsidRDefault="00D573A2">
      <w:pPr>
        <w:pStyle w:val="a3"/>
      </w:pPr>
      <w:r>
        <w:t>* в т.ч. люди без опыта работы и уволившиеся из вооружённых сил</w:t>
      </w:r>
    </w:p>
    <w:p w:rsidR="008C42C4" w:rsidRDefault="00D573A2">
      <w:pPr>
        <w:pStyle w:val="a3"/>
      </w:pPr>
      <w:r>
        <w:t>Источник: данные Бюро статистики трудовых ресурсов США U.S. Bureau of Labor</w:t>
      </w:r>
    </w:p>
    <w:p w:rsidR="008C42C4" w:rsidRDefault="00D573A2">
      <w:pPr>
        <w:pStyle w:val="a3"/>
      </w:pPr>
      <w:r>
        <w:t>Statistics: www.bls.gov</w:t>
      </w:r>
    </w:p>
    <w:p w:rsidR="008C42C4" w:rsidRDefault="00D573A2">
      <w:pPr>
        <w:pStyle w:val="a3"/>
      </w:pPr>
      <w:r>
        <w:t>Интересен также аспект эколого-экономических дискуссий, касающийся, в частности, снижения вредных выбросов при прочих равных условиях в более развитой экономике по сравнению с менее развитой. Считается, что данная особенность определяется так называемой «кривой Кузнеца» (перевёрнутая U-образная кривая). Хотя американский экономист русского происхождения С.А. Кузнец исследовал изменение экономического неравенства в обществе в зависимости от изменения среднедушевого дохода, американские экономисты Дж. Гроссман и А. Крюгер перевели классическую модель Кузнеца на экологические рельсы (на примере стран группы НАФТА) [11]. Они считают, что экономическое развитие страны при достижении ВВП на душу населения уровня в 4-5 тыс. долл. (в ценах 1991г.) позволяет начать смягчение вредного антропогенного воздействия на окружающую среду. Доказательство своей теории они строили на измерении выбросов диоксида серы, сажи и взвешенных частиц.</w:t>
      </w:r>
    </w:p>
    <w:p w:rsidR="008C42C4" w:rsidRDefault="00D573A2">
      <w:pPr>
        <w:pStyle w:val="a3"/>
      </w:pPr>
      <w:r>
        <w:t>Ранее мы опровергли данную гипотезу фактами перенесения грязных производств за пределы развитых стран и расширения торговли товарами. В подтверждение вышесказанного можно добавить: японские исследователи [12] показали, что существует положительная связь между ростом доли продукции так называемых «грязных» производств в структуре импорта Японии и ростом производства такой продукции и выбросами углекислого газа в восточноазиатском регионе. Таким образом, расположенный вне развитого мира капитал обеспечивает потребителей этих стран доходами и товарами в условиях не сокращения, а увеличения антропогенного воздействия на окружающую среду.</w:t>
      </w:r>
    </w:p>
    <w:p w:rsidR="008C42C4" w:rsidRDefault="00D573A2">
      <w:pPr>
        <w:pStyle w:val="a3"/>
      </w:pPr>
      <w:r>
        <w:t>Говоря о развитии российской экономики, можно привести мнение В.Б. Кондратьева, который в своих исследованиях указывает на недостаточность развития сферы услуг в российской экономике и на необходимость повышения её эффективности ввиду всё большего вовлечения сферы услуг в процесс общественного воспроизводства на стадии создания промежуточного продукта [13]. Структура ВВП РФ (в текущих ценах) в 2011 году сложилась так, что на сферу услуг приходилось около 59% ВВП (в т.ч. почти 20% - торговля и ремонтные услуги; около 12% - операции с недвижимостью; менее 7% составили образовательные, медицинские и социальные услуги) [14]. Но, к сожалению, сырьевой характер российской экономики не позволяет говорить об острой необходимости поддержки развития на данный момент представленного состава отраслей-лидеров сферы услуг. Торговля имеет чуть ли не кратчайшие сроки окупаемости вложенного капитала, она способна успешно развиваться почти автономно, без необходимости в господдержке. Заметим, что формально в России создание более половины совокупного продукта происходит в сфере услуг, но этот факт не позволяет назвать нашу экономику не только постиндустриальной, но и развитой.</w:t>
      </w:r>
    </w:p>
    <w:p w:rsidR="008C42C4" w:rsidRDefault="00D573A2">
      <w:pPr>
        <w:pStyle w:val="a3"/>
      </w:pPr>
      <w:r>
        <w:t>В структуре американской частной сферы услуг ведущую роль выполняют операции с недвижимостью, лизинг, бизнес-услуги, торговля, здравоохранение и социальное обеспечение населения, табл. 3. Отметим, что далеко не в числе лидеров находятся информационные услуги (которые в том числе включают разработки программного обеспечения и телекоммуникационных технологий), образование, искусство (в США театр, например, не имеет столь широкого государственного финансирования как в России или Европе) - на вышеуказанные отрасли, а также на здравоохранение и соцуслуги приходится лишь пятая часть частного постиндустриального сектора.</w:t>
      </w:r>
    </w:p>
    <w:p w:rsidR="008C42C4" w:rsidRDefault="00D573A2">
      <w:pPr>
        <w:pStyle w:val="a3"/>
      </w:pPr>
      <w:r>
        <w:t>Таблица 3</w:t>
      </w:r>
    </w:p>
    <w:p w:rsidR="008C42C4" w:rsidRDefault="00D573A2">
      <w:pPr>
        <w:pStyle w:val="a3"/>
      </w:pPr>
      <w:r>
        <w:t> </w:t>
      </w:r>
    </w:p>
    <w:tbl>
      <w:tblPr>
        <w:tblW w:w="0" w:type="auto"/>
        <w:tblCellSpacing w:w="0" w:type="dxa"/>
        <w:tblCellMar>
          <w:left w:w="0" w:type="dxa"/>
          <w:right w:w="0" w:type="dxa"/>
        </w:tblCellMar>
        <w:tblLook w:val="04A0" w:firstRow="1" w:lastRow="0" w:firstColumn="1" w:lastColumn="0" w:noHBand="0" w:noVBand="1"/>
      </w:tblPr>
      <w:tblGrid>
        <w:gridCol w:w="480"/>
        <w:gridCol w:w="240"/>
        <w:gridCol w:w="240"/>
      </w:tblGrid>
      <w:tr w:rsidR="008C42C4">
        <w:trPr>
          <w:trHeight w:val="480"/>
          <w:tblCellSpacing w:w="0" w:type="dxa"/>
        </w:trPr>
        <w:tc>
          <w:tcPr>
            <w:tcW w:w="0" w:type="auto"/>
            <w:vAlign w:val="center"/>
            <w:hideMark/>
          </w:tcPr>
          <w:p w:rsidR="008C42C4" w:rsidRDefault="00D573A2">
            <w:r>
              <w:t>Вид услуг</w:t>
            </w:r>
          </w:p>
        </w:tc>
        <w:tc>
          <w:tcPr>
            <w:tcW w:w="0" w:type="auto"/>
            <w:gridSpan w:val="2"/>
            <w:vAlign w:val="center"/>
            <w:hideMark/>
          </w:tcPr>
          <w:p w:rsidR="008C42C4" w:rsidRDefault="00D573A2">
            <w:r>
              <w:t>Валовая добавленная стоимость отраслей</w:t>
            </w:r>
          </w:p>
        </w:tc>
      </w:tr>
      <w:tr w:rsidR="008C42C4">
        <w:trPr>
          <w:trHeight w:val="240"/>
          <w:tblCellSpacing w:w="0" w:type="dxa"/>
        </w:trPr>
        <w:tc>
          <w:tcPr>
            <w:tcW w:w="0" w:type="auto"/>
            <w:vAlign w:val="center"/>
            <w:hideMark/>
          </w:tcPr>
          <w:p w:rsidR="008C42C4" w:rsidRDefault="00D573A2">
            <w:r>
              <w:t> </w:t>
            </w:r>
          </w:p>
        </w:tc>
        <w:tc>
          <w:tcPr>
            <w:tcW w:w="0" w:type="auto"/>
            <w:vAlign w:val="center"/>
            <w:hideMark/>
          </w:tcPr>
          <w:p w:rsidR="008C42C4" w:rsidRDefault="00D573A2">
            <w:r>
              <w:t>млрд долл.</w:t>
            </w:r>
          </w:p>
        </w:tc>
        <w:tc>
          <w:tcPr>
            <w:tcW w:w="0" w:type="auto"/>
            <w:vAlign w:val="center"/>
            <w:hideMark/>
          </w:tcPr>
          <w:p w:rsidR="008C42C4" w:rsidRDefault="00D573A2">
            <w:r>
              <w:t>уд. вес, %</w:t>
            </w:r>
          </w:p>
        </w:tc>
      </w:tr>
      <w:tr w:rsidR="008C42C4">
        <w:trPr>
          <w:trHeight w:val="240"/>
          <w:tblCellSpacing w:w="0" w:type="dxa"/>
        </w:trPr>
        <w:tc>
          <w:tcPr>
            <w:tcW w:w="0" w:type="auto"/>
            <w:vAlign w:val="center"/>
            <w:hideMark/>
          </w:tcPr>
          <w:p w:rsidR="008C42C4" w:rsidRDefault="00D573A2">
            <w:r>
              <w:t>Государственное управление</w:t>
            </w:r>
          </w:p>
        </w:tc>
        <w:tc>
          <w:tcPr>
            <w:tcW w:w="0" w:type="auto"/>
            <w:vAlign w:val="center"/>
            <w:hideMark/>
          </w:tcPr>
          <w:p w:rsidR="008C42C4" w:rsidRDefault="00D573A2">
            <w:r>
              <w:t>1842,4</w:t>
            </w:r>
          </w:p>
        </w:tc>
        <w:tc>
          <w:tcPr>
            <w:tcW w:w="0" w:type="auto"/>
            <w:vAlign w:val="center"/>
            <w:hideMark/>
          </w:tcPr>
          <w:p w:rsidR="008C42C4" w:rsidRDefault="00D573A2">
            <w:r>
              <w:t>15,5%</w:t>
            </w:r>
          </w:p>
        </w:tc>
      </w:tr>
      <w:tr w:rsidR="008C42C4">
        <w:trPr>
          <w:trHeight w:val="240"/>
          <w:tblCellSpacing w:w="0" w:type="dxa"/>
        </w:trPr>
        <w:tc>
          <w:tcPr>
            <w:tcW w:w="0" w:type="auto"/>
            <w:vAlign w:val="center"/>
            <w:hideMark/>
          </w:tcPr>
          <w:p w:rsidR="008C42C4" w:rsidRDefault="00D573A2">
            <w:r>
              <w:t>Частные услуги</w:t>
            </w:r>
          </w:p>
        </w:tc>
        <w:tc>
          <w:tcPr>
            <w:tcW w:w="0" w:type="auto"/>
            <w:vAlign w:val="center"/>
            <w:hideMark/>
          </w:tcPr>
          <w:p w:rsidR="008C42C4" w:rsidRDefault="00D573A2">
            <w:r>
              <w:t>10059,5</w:t>
            </w:r>
          </w:p>
        </w:tc>
        <w:tc>
          <w:tcPr>
            <w:tcW w:w="0" w:type="auto"/>
            <w:vAlign w:val="center"/>
            <w:hideMark/>
          </w:tcPr>
          <w:p w:rsidR="008C42C4" w:rsidRDefault="00D573A2">
            <w:r>
              <w:t>84,5%</w:t>
            </w:r>
          </w:p>
        </w:tc>
      </w:tr>
      <w:tr w:rsidR="008C42C4">
        <w:trPr>
          <w:trHeight w:val="240"/>
          <w:tblCellSpacing w:w="0" w:type="dxa"/>
        </w:trPr>
        <w:tc>
          <w:tcPr>
            <w:tcW w:w="0" w:type="auto"/>
            <w:vAlign w:val="center"/>
            <w:hideMark/>
          </w:tcPr>
          <w:p w:rsidR="008C42C4" w:rsidRDefault="00D573A2">
            <w:r>
              <w:t>в т.ч.</w:t>
            </w:r>
          </w:p>
        </w:tc>
        <w:tc>
          <w:tcPr>
            <w:tcW w:w="0" w:type="auto"/>
            <w:vAlign w:val="center"/>
            <w:hideMark/>
          </w:tcPr>
          <w:p w:rsidR="008C42C4" w:rsidRDefault="00D573A2">
            <w:r>
              <w:t> </w:t>
            </w:r>
          </w:p>
        </w:tc>
        <w:tc>
          <w:tcPr>
            <w:tcW w:w="0" w:type="auto"/>
            <w:vAlign w:val="center"/>
            <w:hideMark/>
          </w:tcPr>
          <w:p w:rsidR="008C42C4" w:rsidRDefault="00D573A2">
            <w:r>
              <w:t> </w:t>
            </w:r>
          </w:p>
        </w:tc>
      </w:tr>
      <w:tr w:rsidR="008C42C4">
        <w:trPr>
          <w:trHeight w:val="240"/>
          <w:tblCellSpacing w:w="0" w:type="dxa"/>
        </w:trPr>
        <w:tc>
          <w:tcPr>
            <w:tcW w:w="0" w:type="auto"/>
            <w:vAlign w:val="center"/>
            <w:hideMark/>
          </w:tcPr>
          <w:p w:rsidR="008C42C4" w:rsidRDefault="00D573A2">
            <w:r>
              <w:t>Оптовая торговля</w:t>
            </w:r>
          </w:p>
        </w:tc>
        <w:tc>
          <w:tcPr>
            <w:tcW w:w="0" w:type="auto"/>
            <w:vAlign w:val="center"/>
            <w:hideMark/>
          </w:tcPr>
          <w:p w:rsidR="008C42C4" w:rsidRDefault="00D573A2">
            <w:r>
              <w:t>845,1</w:t>
            </w:r>
          </w:p>
        </w:tc>
        <w:tc>
          <w:tcPr>
            <w:tcW w:w="0" w:type="auto"/>
            <w:vAlign w:val="center"/>
            <w:hideMark/>
          </w:tcPr>
          <w:p w:rsidR="008C42C4" w:rsidRDefault="00D573A2">
            <w:r>
              <w:t>8,4%</w:t>
            </w:r>
          </w:p>
        </w:tc>
      </w:tr>
      <w:tr w:rsidR="008C42C4">
        <w:trPr>
          <w:trHeight w:val="240"/>
          <w:tblCellSpacing w:w="0" w:type="dxa"/>
        </w:trPr>
        <w:tc>
          <w:tcPr>
            <w:tcW w:w="0" w:type="auto"/>
            <w:vAlign w:val="center"/>
            <w:hideMark/>
          </w:tcPr>
          <w:p w:rsidR="008C42C4" w:rsidRDefault="00D573A2">
            <w:r>
              <w:t>Розничная торговля</w:t>
            </w:r>
          </w:p>
        </w:tc>
        <w:tc>
          <w:tcPr>
            <w:tcW w:w="0" w:type="auto"/>
            <w:vAlign w:val="center"/>
            <w:hideMark/>
          </w:tcPr>
          <w:p w:rsidR="008C42C4" w:rsidRDefault="00D573A2">
            <w:r>
              <w:t>905,7</w:t>
            </w:r>
          </w:p>
        </w:tc>
        <w:tc>
          <w:tcPr>
            <w:tcW w:w="0" w:type="auto"/>
            <w:vAlign w:val="center"/>
            <w:hideMark/>
          </w:tcPr>
          <w:p w:rsidR="008C42C4" w:rsidRDefault="00D573A2">
            <w:r>
              <w:t>9,0%</w:t>
            </w:r>
          </w:p>
        </w:tc>
      </w:tr>
      <w:tr w:rsidR="008C42C4">
        <w:trPr>
          <w:trHeight w:val="240"/>
          <w:tblCellSpacing w:w="0" w:type="dxa"/>
        </w:trPr>
        <w:tc>
          <w:tcPr>
            <w:tcW w:w="0" w:type="auto"/>
            <w:vAlign w:val="center"/>
            <w:hideMark/>
          </w:tcPr>
          <w:p w:rsidR="008C42C4" w:rsidRDefault="00D573A2">
            <w:r>
              <w:t>Транспорт и складское хранение</w:t>
            </w:r>
          </w:p>
        </w:tc>
        <w:tc>
          <w:tcPr>
            <w:tcW w:w="0" w:type="auto"/>
            <w:vAlign w:val="center"/>
            <w:hideMark/>
          </w:tcPr>
          <w:p w:rsidR="008C42C4" w:rsidRDefault="00D573A2">
            <w:r>
              <w:t>447,9</w:t>
            </w:r>
          </w:p>
        </w:tc>
        <w:tc>
          <w:tcPr>
            <w:tcW w:w="0" w:type="auto"/>
            <w:vAlign w:val="center"/>
            <w:hideMark/>
          </w:tcPr>
          <w:p w:rsidR="008C42C4" w:rsidRDefault="00D573A2">
            <w:r>
              <w:t>4,5%</w:t>
            </w:r>
          </w:p>
        </w:tc>
      </w:tr>
      <w:tr w:rsidR="008C42C4">
        <w:trPr>
          <w:trHeight w:val="240"/>
          <w:tblCellSpacing w:w="0" w:type="dxa"/>
        </w:trPr>
        <w:tc>
          <w:tcPr>
            <w:tcW w:w="0" w:type="auto"/>
            <w:vAlign w:val="center"/>
            <w:hideMark/>
          </w:tcPr>
          <w:p w:rsidR="008C42C4" w:rsidRDefault="00D573A2">
            <w:r>
              <w:t>Информационные услуги</w:t>
            </w:r>
          </w:p>
        </w:tc>
        <w:tc>
          <w:tcPr>
            <w:tcW w:w="0" w:type="auto"/>
            <w:vAlign w:val="center"/>
            <w:hideMark/>
          </w:tcPr>
          <w:p w:rsidR="008C42C4" w:rsidRDefault="00D573A2">
            <w:r>
              <w:t>646,6</w:t>
            </w:r>
          </w:p>
        </w:tc>
        <w:tc>
          <w:tcPr>
            <w:tcW w:w="0" w:type="auto"/>
            <w:vAlign w:val="center"/>
            <w:hideMark/>
          </w:tcPr>
          <w:p w:rsidR="008C42C4" w:rsidRDefault="00D573A2">
            <w:r>
              <w:t>6,4%</w:t>
            </w:r>
          </w:p>
        </w:tc>
      </w:tr>
      <w:tr w:rsidR="008C42C4">
        <w:trPr>
          <w:trHeight w:val="240"/>
          <w:tblCellSpacing w:w="0" w:type="dxa"/>
        </w:trPr>
        <w:tc>
          <w:tcPr>
            <w:tcW w:w="0" w:type="auto"/>
            <w:vAlign w:val="center"/>
            <w:hideMark/>
          </w:tcPr>
          <w:p w:rsidR="008C42C4" w:rsidRDefault="00D573A2">
            <w:r>
              <w:t>Финансовые и страховые услуги</w:t>
            </w:r>
          </w:p>
        </w:tc>
        <w:tc>
          <w:tcPr>
            <w:tcW w:w="0" w:type="auto"/>
            <w:vAlign w:val="center"/>
            <w:hideMark/>
          </w:tcPr>
          <w:p w:rsidR="008C42C4" w:rsidRDefault="00D573A2">
            <w:r>
              <w:t>1159,3</w:t>
            </w:r>
          </w:p>
        </w:tc>
        <w:tc>
          <w:tcPr>
            <w:tcW w:w="0" w:type="auto"/>
            <w:vAlign w:val="center"/>
            <w:hideMark/>
          </w:tcPr>
          <w:p w:rsidR="008C42C4" w:rsidRDefault="00D573A2">
            <w:r>
              <w:t>11,5%</w:t>
            </w:r>
          </w:p>
        </w:tc>
      </w:tr>
      <w:tr w:rsidR="008C42C4">
        <w:trPr>
          <w:trHeight w:val="240"/>
          <w:tblCellSpacing w:w="0" w:type="dxa"/>
        </w:trPr>
        <w:tc>
          <w:tcPr>
            <w:tcW w:w="0" w:type="auto"/>
            <w:vAlign w:val="center"/>
            <w:hideMark/>
          </w:tcPr>
          <w:p w:rsidR="008C42C4" w:rsidRDefault="00D573A2">
            <w:r>
              <w:t>Операции с недвижимостью и лизинг</w:t>
            </w:r>
          </w:p>
        </w:tc>
        <w:tc>
          <w:tcPr>
            <w:tcW w:w="0" w:type="auto"/>
            <w:vAlign w:val="center"/>
            <w:hideMark/>
          </w:tcPr>
          <w:p w:rsidR="008C42C4" w:rsidRDefault="00D573A2">
            <w:r>
              <w:t>1898,8</w:t>
            </w:r>
          </w:p>
        </w:tc>
        <w:tc>
          <w:tcPr>
            <w:tcW w:w="0" w:type="auto"/>
            <w:vAlign w:val="center"/>
            <w:hideMark/>
          </w:tcPr>
          <w:p w:rsidR="008C42C4" w:rsidRDefault="00D573A2">
            <w:r>
              <w:t>18,9%</w:t>
            </w:r>
          </w:p>
        </w:tc>
      </w:tr>
      <w:tr w:rsidR="008C42C4">
        <w:trPr>
          <w:trHeight w:val="240"/>
          <w:tblCellSpacing w:w="0" w:type="dxa"/>
        </w:trPr>
        <w:tc>
          <w:tcPr>
            <w:tcW w:w="0" w:type="auto"/>
            <w:vAlign w:val="center"/>
            <w:hideMark/>
          </w:tcPr>
          <w:p w:rsidR="008C42C4" w:rsidRDefault="00D573A2">
            <w:r>
              <w:t>Профессиональные и бизнес-услуги</w:t>
            </w:r>
          </w:p>
        </w:tc>
        <w:tc>
          <w:tcPr>
            <w:tcW w:w="0" w:type="auto"/>
            <w:vAlign w:val="center"/>
            <w:hideMark/>
          </w:tcPr>
          <w:p w:rsidR="008C42C4" w:rsidRDefault="00D573A2">
            <w:r>
              <w:t>1883,9</w:t>
            </w:r>
          </w:p>
        </w:tc>
        <w:tc>
          <w:tcPr>
            <w:tcW w:w="0" w:type="auto"/>
            <w:vAlign w:val="center"/>
            <w:hideMark/>
          </w:tcPr>
          <w:p w:rsidR="008C42C4" w:rsidRDefault="00D573A2">
            <w:r>
              <w:t>18,7%</w:t>
            </w:r>
          </w:p>
        </w:tc>
      </w:tr>
      <w:tr w:rsidR="008C42C4">
        <w:trPr>
          <w:trHeight w:val="240"/>
          <w:tblCellSpacing w:w="0" w:type="dxa"/>
        </w:trPr>
        <w:tc>
          <w:tcPr>
            <w:tcW w:w="0" w:type="auto"/>
            <w:vAlign w:val="center"/>
            <w:hideMark/>
          </w:tcPr>
          <w:p w:rsidR="008C42C4" w:rsidRDefault="00D573A2">
            <w:r>
              <w:t>Образование</w:t>
            </w:r>
          </w:p>
        </w:tc>
        <w:tc>
          <w:tcPr>
            <w:tcW w:w="0" w:type="auto"/>
            <w:vAlign w:val="center"/>
            <w:hideMark/>
          </w:tcPr>
          <w:p w:rsidR="008C42C4" w:rsidRDefault="00D573A2">
            <w:r>
              <w:t>174,2</w:t>
            </w:r>
          </w:p>
        </w:tc>
        <w:tc>
          <w:tcPr>
            <w:tcW w:w="0" w:type="auto"/>
            <w:vAlign w:val="center"/>
            <w:hideMark/>
          </w:tcPr>
          <w:p w:rsidR="008C42C4" w:rsidRDefault="00D573A2">
            <w:r>
              <w:t>1,7%</w:t>
            </w:r>
          </w:p>
        </w:tc>
      </w:tr>
      <w:tr w:rsidR="008C42C4">
        <w:trPr>
          <w:trHeight w:val="240"/>
          <w:tblCellSpacing w:w="0" w:type="dxa"/>
        </w:trPr>
        <w:tc>
          <w:tcPr>
            <w:tcW w:w="0" w:type="auto"/>
            <w:vAlign w:val="center"/>
            <w:hideMark/>
          </w:tcPr>
          <w:p w:rsidR="008C42C4" w:rsidRDefault="00D573A2">
            <w:r>
              <w:t>Здравоохранение и социальные услуги</w:t>
            </w:r>
          </w:p>
        </w:tc>
        <w:tc>
          <w:tcPr>
            <w:tcW w:w="0" w:type="auto"/>
            <w:vAlign w:val="center"/>
            <w:hideMark/>
          </w:tcPr>
          <w:p w:rsidR="008C42C4" w:rsidRDefault="00D573A2">
            <w:r>
              <w:t>1136,9</w:t>
            </w:r>
          </w:p>
        </w:tc>
        <w:tc>
          <w:tcPr>
            <w:tcW w:w="0" w:type="auto"/>
            <w:vAlign w:val="center"/>
            <w:hideMark/>
          </w:tcPr>
          <w:p w:rsidR="008C42C4" w:rsidRDefault="00D573A2">
            <w:r>
              <w:t>11,3%</w:t>
            </w:r>
          </w:p>
        </w:tc>
      </w:tr>
      <w:tr w:rsidR="008C42C4">
        <w:trPr>
          <w:trHeight w:val="240"/>
          <w:tblCellSpacing w:w="0" w:type="dxa"/>
        </w:trPr>
        <w:tc>
          <w:tcPr>
            <w:tcW w:w="0" w:type="auto"/>
            <w:vAlign w:val="center"/>
            <w:hideMark/>
          </w:tcPr>
          <w:p w:rsidR="008C42C4" w:rsidRDefault="00D573A2">
            <w:r>
              <w:t>Искусство, развлечения, отдых</w:t>
            </w:r>
          </w:p>
        </w:tc>
        <w:tc>
          <w:tcPr>
            <w:tcW w:w="0" w:type="auto"/>
            <w:vAlign w:val="center"/>
            <w:hideMark/>
          </w:tcPr>
          <w:p w:rsidR="008C42C4" w:rsidRDefault="00D573A2">
            <w:r>
              <w:t>148,0</w:t>
            </w:r>
          </w:p>
        </w:tc>
        <w:tc>
          <w:tcPr>
            <w:tcW w:w="0" w:type="auto"/>
            <w:vAlign w:val="center"/>
            <w:hideMark/>
          </w:tcPr>
          <w:p w:rsidR="008C42C4" w:rsidRDefault="00D573A2">
            <w:r>
              <w:t>1,5%</w:t>
            </w:r>
          </w:p>
        </w:tc>
      </w:tr>
      <w:tr w:rsidR="008C42C4">
        <w:trPr>
          <w:trHeight w:val="240"/>
          <w:tblCellSpacing w:w="0" w:type="dxa"/>
        </w:trPr>
        <w:tc>
          <w:tcPr>
            <w:tcW w:w="0" w:type="auto"/>
            <w:vAlign w:val="center"/>
            <w:hideMark/>
          </w:tcPr>
          <w:p w:rsidR="008C42C4" w:rsidRDefault="00D573A2">
            <w:r>
              <w:t>Общественное питание</w:t>
            </w:r>
          </w:p>
        </w:tc>
        <w:tc>
          <w:tcPr>
            <w:tcW w:w="0" w:type="auto"/>
            <w:vAlign w:val="center"/>
            <w:hideMark/>
          </w:tcPr>
          <w:p w:rsidR="008C42C4" w:rsidRDefault="00D573A2">
            <w:r>
              <w:t>324,0</w:t>
            </w:r>
          </w:p>
        </w:tc>
        <w:tc>
          <w:tcPr>
            <w:tcW w:w="0" w:type="auto"/>
            <w:vAlign w:val="center"/>
            <w:hideMark/>
          </w:tcPr>
          <w:p w:rsidR="008C42C4" w:rsidRDefault="00D573A2">
            <w:r>
              <w:t>3,2%</w:t>
            </w:r>
          </w:p>
        </w:tc>
      </w:tr>
      <w:tr w:rsidR="008C42C4">
        <w:trPr>
          <w:trHeight w:val="240"/>
          <w:tblCellSpacing w:w="0" w:type="dxa"/>
        </w:trPr>
        <w:tc>
          <w:tcPr>
            <w:tcW w:w="0" w:type="auto"/>
            <w:vAlign w:val="center"/>
            <w:hideMark/>
          </w:tcPr>
          <w:p w:rsidR="008C42C4" w:rsidRDefault="00D573A2">
            <w:r>
              <w:t>Предоставление временного жилья</w:t>
            </w:r>
          </w:p>
        </w:tc>
        <w:tc>
          <w:tcPr>
            <w:tcW w:w="0" w:type="auto"/>
            <w:vAlign w:val="center"/>
            <w:hideMark/>
          </w:tcPr>
          <w:p w:rsidR="008C42C4" w:rsidRDefault="00D573A2">
            <w:r>
              <w:t>119,1</w:t>
            </w:r>
          </w:p>
        </w:tc>
        <w:tc>
          <w:tcPr>
            <w:tcW w:w="0" w:type="auto"/>
            <w:vAlign w:val="center"/>
            <w:hideMark/>
          </w:tcPr>
          <w:p w:rsidR="008C42C4" w:rsidRDefault="00D573A2">
            <w:r>
              <w:t>1,2%</w:t>
            </w:r>
          </w:p>
        </w:tc>
      </w:tr>
      <w:tr w:rsidR="008C42C4">
        <w:trPr>
          <w:trHeight w:val="240"/>
          <w:tblCellSpacing w:w="0" w:type="dxa"/>
        </w:trPr>
        <w:tc>
          <w:tcPr>
            <w:tcW w:w="0" w:type="auto"/>
            <w:vAlign w:val="center"/>
            <w:hideMark/>
          </w:tcPr>
          <w:p w:rsidR="008C42C4" w:rsidRDefault="00D573A2">
            <w:r>
              <w:t>Иные услуги</w:t>
            </w:r>
          </w:p>
        </w:tc>
        <w:tc>
          <w:tcPr>
            <w:tcW w:w="0" w:type="auto"/>
            <w:vAlign w:val="center"/>
            <w:hideMark/>
          </w:tcPr>
          <w:p w:rsidR="008C42C4" w:rsidRDefault="00D573A2">
            <w:r>
              <w:t>369,9</w:t>
            </w:r>
          </w:p>
        </w:tc>
        <w:tc>
          <w:tcPr>
            <w:tcW w:w="0" w:type="auto"/>
            <w:vAlign w:val="center"/>
            <w:hideMark/>
          </w:tcPr>
          <w:p w:rsidR="008C42C4" w:rsidRDefault="00D573A2">
            <w:r>
              <w:t>3,7%</w:t>
            </w:r>
          </w:p>
        </w:tc>
      </w:tr>
      <w:tr w:rsidR="008C42C4">
        <w:trPr>
          <w:trHeight w:val="270"/>
          <w:tblCellSpacing w:w="0" w:type="dxa"/>
        </w:trPr>
        <w:tc>
          <w:tcPr>
            <w:tcW w:w="0" w:type="auto"/>
            <w:vAlign w:val="center"/>
            <w:hideMark/>
          </w:tcPr>
          <w:p w:rsidR="008C42C4" w:rsidRDefault="00D573A2">
            <w:r>
              <w:t>Всего</w:t>
            </w:r>
          </w:p>
        </w:tc>
        <w:tc>
          <w:tcPr>
            <w:tcW w:w="0" w:type="auto"/>
            <w:vAlign w:val="center"/>
            <w:hideMark/>
          </w:tcPr>
          <w:p w:rsidR="008C42C4" w:rsidRDefault="00D573A2">
            <w:r>
              <w:t>11901,9</w:t>
            </w:r>
          </w:p>
        </w:tc>
        <w:tc>
          <w:tcPr>
            <w:tcW w:w="0" w:type="auto"/>
            <w:vAlign w:val="center"/>
            <w:hideMark/>
          </w:tcPr>
          <w:p w:rsidR="008C42C4" w:rsidRDefault="00D573A2">
            <w:r>
              <w:t>100,0%</w:t>
            </w:r>
          </w:p>
        </w:tc>
      </w:tr>
    </w:tbl>
    <w:p w:rsidR="008C42C4" w:rsidRPr="00D573A2" w:rsidRDefault="00D573A2">
      <w:pPr>
        <w:pStyle w:val="a3"/>
      </w:pPr>
      <w:r>
        <w:t>*Источник: данныеБюроэкономическогоанализаСШАU.S. Department of Commerce Bureau of Economic Analysis: www.bea.gov</w:t>
      </w:r>
    </w:p>
    <w:p w:rsidR="008C42C4" w:rsidRDefault="00D573A2">
      <w:pPr>
        <w:pStyle w:val="a3"/>
      </w:pPr>
      <w:r>
        <w:t>Структура валовой добавленной стоимости сферы услуг в США в 2011 году</w:t>
      </w:r>
    </w:p>
    <w:p w:rsidR="008C42C4" w:rsidRDefault="00D573A2">
      <w:pPr>
        <w:pStyle w:val="a3"/>
      </w:pPr>
      <w:r>
        <w:t>В качестве достоверного критерия перехода общества к постиндустриальной фазе мы можем предложить как можно более полную автоматизацию и компьютеризацию экономики и остальных сфер общественной жизни. К сожалению, российская экономика по данному показателю ещё крайне далека от развитых стран Запада. Например, в российских условиях для банковских услуг неавтоматизированные операции требуют примерно в 12 раз больше трудовых затрат по сравнению с электронными [14]. Характерно применение либо ручного труда, либо не совсем рациональных схем предоставления государственных, почтовых, медицинских, социальных и иных услуг. Более того, сам российский финансовый рынок как продолжение системы товарообмена остаётся крайне неразвитым в силу объективного упадка материального производства [15].</w:t>
      </w:r>
    </w:p>
    <w:p w:rsidR="008C42C4" w:rsidRDefault="00D573A2">
      <w:pPr>
        <w:pStyle w:val="a3"/>
      </w:pPr>
      <w:r>
        <w:t>Если же выводить критерий, рассчитываемый на основе показателей сферы услуг, то необходимо указать, что качественно достоверным индикатором перехода общества к постиндустриальной фазе будет расширение вышеназванного пятеричного сектора экономики, состав которого предложен</w:t>
      </w:r>
    </w:p>
    <w:p w:rsidR="008C42C4" w:rsidRDefault="00D573A2">
      <w:pPr>
        <w:pStyle w:val="a3"/>
      </w:pPr>
      <w:r>
        <w:t>В. Л. Иноземцевым. При этом необходимо расставить некоторые акценты: например, в системе здравоохранения приоритетно должно оцениваться развитие системы начальной диагностики и предупреждения болезней (как известно, всякая профилактика обходится дешевле восстановления утраченного здоровья); большой объём оказанных услуг по непосредственному лечению граждан при прочих равных условиях может говорить о нездоровом состоянии нации, а также часто и о преднамеренном завышении необходимого объёма или стоимости оказания помощи.</w:t>
      </w:r>
    </w:p>
    <w:p w:rsidR="008C42C4" w:rsidRDefault="00D573A2">
      <w:pPr>
        <w:pStyle w:val="a3"/>
      </w:pPr>
      <w:r>
        <w:t>По мнению профессора А. А. Аузана [16] и политконсультанта А. А. Вассермана, образование по причине его определяющей роли в процессе формирования будущего состояния общества следует относить, скорее, к производству средств производства (инвестиции в человеческий капитал), чем к сфере услуг, поскольку известно, что человек - главная производительная сила экономики. Если в связи с этим рассуждать критически и философски, то образование относится к сфере услуг в тех случаях, когда говорят, например, о заграничном опыте «университетов старшего поколения». Подразумевается, что пожилые люди желают удовлетворить определённые потребности в знаниях, в приобретении некоторых навыков, если они не смогли этого сделать ранее в силу занятости, семейных обстоятельств и т. д. Потребители данного вида услуг в значительной мере определяют программы обучения, руководствуясь собственными предпочтениями и интересами. Если говорить о классическом образовании как о форме подготовки кадров для будущих нужд экономики, то это, прежде всего, должна быть тщательно выверенная и ориентированная на долгосрочную перспективу система передачи знаний, это есть некоторая инвестиция с «надсервисным» содержанием. И если проводить расчёт вклада образования в ВВП страны, то подготовка и аттестация большого количества специалистов с неудовлетворительным уровнем подготовки порождает экономически достоверные, но с точки зрения стратегии развития - явно «раздутые» цифры. Дополнительно отметим, что по закону относительной неэффективности в экономике всякое снижение цены товара, создаваемого машинным способом, вызывает пропорциональный рост цен некой группы товаров ручного производства. Эта закономерность справедлива и для услуг. Это происходит по причине прямой заинтересованности занятого населения в поддержании неснижающегося среднего уровня оплаты труда в масштабах всей экономики. Очевидно, что по мере усложнения сферы услуг (как более нового сектора по сравнению с промышленностью) в соответствии с вышеназванным законом относительный уровень заработной платы в ней растёт и будет расти. И данный факт способен порождать рост спроса на образование, т.е. люди будут заинтересованы в более дешёвом самостоятельном оказании некоторых услуг, эту особенность Э. Тоффлер называл производством для себя [17]. Подобный сценарий развития описывает подход к потребности в образовании не только через желание потребителя получить набор полезных действий в отношении себя, но ещё и через формирование как можно более полного, системного понимания окружающего мира. В настоящее время становится всё труднее жить без основ медицинской, технической, компьютерной, финансовой грамотности, языковой и общекультурной базы.</w:t>
      </w:r>
    </w:p>
    <w:p w:rsidR="008C42C4" w:rsidRDefault="00D573A2">
      <w:pPr>
        <w:pStyle w:val="a3"/>
      </w:pPr>
      <w:r>
        <w:t>Некоторые футурологи прогнозируют во второй четверти 21 века наступление технологической сингулярности - состояния, когда необходимая скорость восприятия человечеством достижений прогресса станет недостижимой по биологическим причинам. К этому моменту ожидается переход от биологической к биотехнической эволюции [18]. Возможность разрешения всех будущих подобного рода противоречий связывается с наиболее глубоким и обязательным внедрением науки в процесс принятия решений. В будущем в обществе станут ключевым ресурсом работники знания, которые станут доминирующей группой в структуре рабочей силы [19]. Конкурентоспособность этих квалифицированных сотрудников будет характеризоваться следующим:</w:t>
      </w:r>
    </w:p>
    <w:p w:rsidR="008C42C4" w:rsidRDefault="00D573A2">
      <w:pPr>
        <w:pStyle w:val="a3"/>
      </w:pPr>
      <w:r>
        <w:t>принципиальная неограниченность данной группы работников по причине того, что движение знаний менее затратно, чем даже движение денег;</w:t>
      </w:r>
    </w:p>
    <w:p w:rsidR="008C42C4" w:rsidRDefault="00D573A2">
      <w:pPr>
        <w:pStyle w:val="a3"/>
      </w:pPr>
      <w:r>
        <w:t>вертикальная мобильность в обществе будет основываться на общедоступных формальных процедурах получения образования;</w:t>
      </w:r>
    </w:p>
    <w:p w:rsidR="008C42C4" w:rsidRDefault="00D573A2">
      <w:pPr>
        <w:pStyle w:val="a3"/>
      </w:pPr>
      <w:r>
        <w:t>равновероятное достижение успеха и неудачи в делах, т.к. каждый, приобретая главное «средство производства», не обеспечивает его эффективную реализацию на практике.</w:t>
      </w:r>
    </w:p>
    <w:p w:rsidR="008C42C4" w:rsidRDefault="00D573A2">
      <w:pPr>
        <w:pStyle w:val="a3"/>
      </w:pPr>
      <w:r>
        <w:t>Рассуждая о наиболее общем ориентире успешного развития общества, нельзя не упомянуть К. Маркса, который богатство интегрально оценивал через количество свободного времени (в системах с высокой производительностью труда), которым можно распоряжаться [20].</w:t>
      </w:r>
    </w:p>
    <w:p w:rsidR="008C42C4" w:rsidRDefault="00D573A2">
      <w:pPr>
        <w:pStyle w:val="a3"/>
      </w:pPr>
      <w:r>
        <w:t>Таким образом, в рамках данной статьи были переосмыслены воззрения на состав сферы услуг и её роль в общественном воспроизводстве. Современное общество и являющая его основой экономика с только начинающей образовываться постиндустриальной структурой находятся в состоянии трансформации. Происходит пока лишь количественное накопление факторов перестройки в следующую стадию, они затем и позволят произвести диалектический качественный переход в постиндустриальное общество, в котором локомотивом прогресса будут, прежде всего, информационные процессы и научные исследования.</w:t>
      </w:r>
    </w:p>
    <w:p w:rsidR="008C42C4" w:rsidRDefault="00D573A2">
      <w:pPr>
        <w:pStyle w:val="a3"/>
      </w:pPr>
      <w:r>
        <w:t>Список литературы</w:t>
      </w:r>
    </w:p>
    <w:p w:rsidR="008C42C4" w:rsidRDefault="00D573A2">
      <w:pPr>
        <w:pStyle w:val="a3"/>
      </w:pPr>
      <w:r>
        <w:t>Белл, Д. Грядущее постиндустриальное общество. Опыт социального прогнозирования. - М.: Academia, 2004. - 788 с.</w:t>
      </w:r>
    </w:p>
    <w:p w:rsidR="008C42C4" w:rsidRDefault="00D573A2">
      <w:pPr>
        <w:pStyle w:val="a3"/>
      </w:pPr>
      <w:r>
        <w:t>Fisher,A.G.B.. The Clash of Progress and Security. London, 1935.</w:t>
      </w:r>
    </w:p>
    <w:p w:rsidR="008C42C4" w:rsidRDefault="00D573A2">
      <w:pPr>
        <w:pStyle w:val="a3"/>
      </w:pPr>
      <w:r>
        <w:t>Clark, C. The Conditions of Economic Progress. Macmillan Press, 1957.</w:t>
      </w:r>
    </w:p>
    <w:p w:rsidR="008C42C4" w:rsidRDefault="00D573A2">
      <w:pPr>
        <w:pStyle w:val="a3"/>
      </w:pPr>
      <w:r>
        <w:t>Фурастье, Ж Великая надежда XX века. - М.: Наука, 2001. - 183 с.</w:t>
      </w:r>
    </w:p>
    <w:p w:rsidR="008C42C4" w:rsidRDefault="00D573A2">
      <w:pPr>
        <w:pStyle w:val="a3"/>
      </w:pPr>
      <w:r>
        <w:t>Чилингир, Е.Ю. Российский пиар как гипертекст. Исторические и социокультурные аспекты - Germany: LAMBERT Academic Publishing, 2012. - 156 c.</w:t>
      </w:r>
    </w:p>
    <w:p w:rsidR="008C42C4" w:rsidRDefault="00D573A2">
      <w:pPr>
        <w:pStyle w:val="a3"/>
      </w:pPr>
      <w:r>
        <w:t>Иноземцев, В.Л. Современное постиндустриальное общество: природа, противоречия, перспективы: учебное пособие для студентов вузов. М.: Логос, 2000.</w:t>
      </w:r>
    </w:p>
    <w:p w:rsidR="008C42C4" w:rsidRDefault="00D573A2">
      <w:pPr>
        <w:pStyle w:val="a3"/>
      </w:pPr>
      <w:r>
        <w:t>World Development Indicators [Электронный ресурс] // Официальный сайт The World Bank. - Режим доступа: http://www. data.worldbank.org/indicator.</w:t>
      </w:r>
    </w:p>
    <w:p w:rsidR="008C42C4" w:rsidRDefault="00D573A2">
      <w:pPr>
        <w:pStyle w:val="a3"/>
      </w:pPr>
      <w:r>
        <w:t>British Petroleum Statistical Review of World Energy 2012 [Электронныйресурс] // ОфициальныйсайтBritish Petroleum. - Режимдоступа: http:// www.bp.co.</w:t>
      </w:r>
    </w:p>
    <w:p w:rsidR="008C42C4" w:rsidRDefault="00D573A2">
      <w:pPr>
        <w:pStyle w:val="a3"/>
      </w:pPr>
      <w:r>
        <w:t>История экономики: Учебник / Под общ. ред. О. Д. Кузнецовой, И.Н. Шапкина. - М: ИНФРА-М, 2002. - 384 с.</w:t>
      </w:r>
    </w:p>
    <w:p w:rsidR="008C42C4" w:rsidRDefault="00D573A2">
      <w:pPr>
        <w:pStyle w:val="a3"/>
      </w:pPr>
      <w:r>
        <w:t>Список компаний Fortune Global 500 [Электронный ресурс] // Официальный сайт Fortune Magazine. - Режим доступа: http://www.money.cnn.com/magazines/fortune.</w:t>
      </w:r>
    </w:p>
    <w:p w:rsidR="008C42C4" w:rsidRDefault="00D573A2">
      <w:pPr>
        <w:pStyle w:val="a3"/>
      </w:pPr>
      <w:r>
        <w:t>Grossman, Gene M., Krueger, Alan B. Environmental Impact of a North American Free Trade Agreement [Электронныйресурс] // ОфициальныйсайтU.S. National Bureau of Economic Research. NBER Working Paper No. 3914. - 1991. - Режимдоступа: http://www.nber.org/papers/w3914.</w:t>
      </w:r>
    </w:p>
    <w:p w:rsidR="008C42C4" w:rsidRDefault="00D573A2">
      <w:pPr>
        <w:pStyle w:val="a3"/>
      </w:pPr>
      <w:r>
        <w:t>Takeda, F., Matsuura, K. Trade and the Environment in East Asia: Examining the Linkages with Japan and the USA // Journal of the Korean Economy. - 2006. - Vol. 7, № 1, p. 33-56.</w:t>
      </w:r>
    </w:p>
    <w:p w:rsidR="008C42C4" w:rsidRDefault="00D573A2">
      <w:pPr>
        <w:pStyle w:val="a3"/>
      </w:pPr>
      <w:r>
        <w:t>Кондратьев, В.Б. Сфера услуг в постиндустриальной экономике [Электронный ресурс] // Креативная экономика. - 2011. - № 7(55). - С. 128-135. - Режим доступа: http://www.creativeconomy.ru/articles/4152.</w:t>
      </w:r>
    </w:p>
    <w:p w:rsidR="008C42C4" w:rsidRDefault="00D573A2">
      <w:pPr>
        <w:pStyle w:val="a3"/>
      </w:pPr>
      <w:r>
        <w:t>Национальные счета России в 2004-2011 годах: Стат. сб./ Росстат. - M., 2011.</w:t>
      </w:r>
    </w:p>
    <w:p w:rsidR="008C42C4" w:rsidRDefault="00D573A2">
      <w:pPr>
        <w:pStyle w:val="a3"/>
      </w:pPr>
      <w:r>
        <w:t>Третьяков, М. М., Ивлев, Г. С. Оценка современного состояния рынка финансовых услуг // Вестник Тихоокеанского государственного университета. - 2013. - № 1(28). - С. 169-178.</w:t>
      </w:r>
    </w:p>
    <w:p w:rsidR="008C42C4" w:rsidRDefault="00D573A2">
      <w:pPr>
        <w:pStyle w:val="a3"/>
      </w:pPr>
      <w:r>
        <w:t>Аузан, А. А. Три публичные лекции о гражданском обществе. - М.: ОГИ, 2006. - 288 с.</w:t>
      </w:r>
    </w:p>
    <w:p w:rsidR="008C42C4" w:rsidRDefault="00D573A2">
      <w:pPr>
        <w:pStyle w:val="a3"/>
      </w:pPr>
      <w:r>
        <w:t>Тоффлер, Э. Третья волна. - М.: ООО «Фирма «Издательство ACT», 1999.</w:t>
      </w:r>
    </w:p>
    <w:p w:rsidR="008C42C4" w:rsidRDefault="00D573A2">
      <w:pPr>
        <w:pStyle w:val="a3"/>
      </w:pPr>
      <w:r>
        <w:t>Kurzweil, Ray. The singularity is near: when humans transcend biology, Viking, 2005.</w:t>
      </w:r>
    </w:p>
    <w:p w:rsidR="008C42C4" w:rsidRDefault="00D573A2">
      <w:pPr>
        <w:pStyle w:val="a3"/>
      </w:pPr>
      <w:r>
        <w:t>Drucker, P. The next society. [Электронный ресурс] // The Economist. - 2001. - № 44. - Режим доступа http://www.economist.com/node/770819.</w:t>
      </w:r>
    </w:p>
    <w:p w:rsidR="008C42C4" w:rsidRDefault="00D573A2">
      <w:pPr>
        <w:pStyle w:val="a3"/>
      </w:pPr>
      <w:r>
        <w:t>Маркс, К., Энгельс, Ф. Сочинения. Т. 26, часть III, 2-е изд. - М.: Издательство политической литературы, 1964. - 674 с.</w:t>
      </w:r>
      <w:bookmarkStart w:id="0" w:name="_GoBack"/>
      <w:bookmarkEnd w:id="0"/>
    </w:p>
    <w:sectPr w:rsidR="008C42C4">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revisionView w:markup="0"/>
  <w:doNotTrackMoves/>
  <w:doNotTrackFormatting/>
  <w:defaultTabStop w:val="708"/>
  <w:noPunctuationKerning/>
  <w:characterSpacingControl w:val="doNotCompress"/>
  <w:compat>
    <w:doNotSnapToGridInCell/>
    <w:doNotWrapTextWithPunct/>
    <w:doNotUseEastAsianBreak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573A2"/>
    <w:rsid w:val="007F5E93"/>
    <w:rsid w:val="008C42C4"/>
    <w:rsid w:val="00D573A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338C6213-9C90-4F17-AD8C-ECDCBC72C7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
    <w:name w:val="heading 1"/>
    <w:basedOn w:val="a"/>
    <w:link w:val="10"/>
    <w:uiPriority w:val="9"/>
    <w:qFormat/>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pPr>
      <w:spacing w:before="100" w:beforeAutospacing="1" w:after="100" w:afterAutospacing="1"/>
      <w:ind w:firstLine="480"/>
      <w:jc w:val="both"/>
    </w:pPr>
  </w:style>
  <w:style w:type="character" w:customStyle="1" w:styleId="10">
    <w:name w:val="Заголовок 1 Знак"/>
    <w:link w:val="1"/>
    <w:uiPriority w:val="9"/>
    <w:rPr>
      <w:rFonts w:ascii="Calibri Light" w:eastAsia="Times New Roman" w:hAnsi="Calibri Light" w:cs="Times New Roman"/>
      <w:color w:val="2E74B5"/>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3570</Words>
  <Characters>20349</Characters>
  <Application>Microsoft Office Word</Application>
  <DocSecurity>0</DocSecurity>
  <Lines>169</Lines>
  <Paragraphs>47</Paragraphs>
  <ScaleCrop>false</ScaleCrop>
  <Company>diakov.net</Company>
  <LinksUpToDate>false</LinksUpToDate>
  <CharactersWithSpaces>23872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 вопросу о роли сферы услуг в постиндустриальной экономике</dc:title>
  <dc:subject/>
  <dc:creator>Irina</dc:creator>
  <cp:keywords/>
  <dc:description/>
  <cp:lastModifiedBy>Irina</cp:lastModifiedBy>
  <cp:revision>2</cp:revision>
  <dcterms:created xsi:type="dcterms:W3CDTF">2014-08-02T19:11:00Z</dcterms:created>
  <dcterms:modified xsi:type="dcterms:W3CDTF">2014-08-02T19:11:00Z</dcterms:modified>
</cp:coreProperties>
</file>