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DF7" w:rsidRDefault="00BC6DF7">
      <w:pPr>
        <w:pStyle w:val="4"/>
        <w:spacing w:line="360" w:lineRule="auto"/>
        <w:ind w:left="225" w:right="75"/>
      </w:pPr>
    </w:p>
    <w:p w:rsidR="00BC6DF7" w:rsidRDefault="00BC6DF7">
      <w:pPr>
        <w:pStyle w:val="4"/>
        <w:spacing w:line="360" w:lineRule="auto"/>
        <w:ind w:left="225" w:right="75"/>
      </w:pPr>
      <w:r>
        <w:t xml:space="preserve">5 ВЛИЯНИЕ ТЕМПЕРАТУРЫ </w:t>
      </w:r>
    </w:p>
    <w:p w:rsidR="00BC6DF7" w:rsidRDefault="00BC6DF7">
      <w:pPr>
        <w:pStyle w:val="5"/>
        <w:spacing w:line="360" w:lineRule="auto"/>
        <w:ind w:left="225" w:right="75"/>
        <w:rPr>
          <w:rFonts w:ascii="Verdana" w:hAnsi="Verdana"/>
        </w:rPr>
      </w:pPr>
      <w:r>
        <w:rPr>
          <w:rFonts w:ascii="Verdana" w:hAnsi="Verdana"/>
        </w:rPr>
        <w:t>НА СКОРОСТЬ ХИМИЧЕСКИХ РЕАКЦИЙ</w:t>
      </w:r>
    </w:p>
    <w:p w:rsidR="00BC6DF7" w:rsidRDefault="00BC6DF7">
      <w:pPr>
        <w:pStyle w:val="6"/>
        <w:spacing w:line="360" w:lineRule="auto"/>
        <w:ind w:left="600" w:right="75"/>
        <w:jc w:val="both"/>
      </w:pPr>
      <w:r>
        <w:t>5.1 Уравнение Аррениуса</w:t>
      </w:r>
    </w:p>
    <w:p w:rsidR="00BC6DF7" w:rsidRDefault="00BC6DF7">
      <w:pPr>
        <w:pStyle w:val="deftxt"/>
        <w:spacing w:line="360" w:lineRule="auto"/>
        <w:ind w:left="450" w:right="150"/>
      </w:pPr>
      <w:r>
        <w:t>Скорость химической реакции зависит не только от концентрации, но и от температуры. Как показывает опыт, скорость большинства реакций увеличивается при повышении температуры в 2 ÷ 4 раза на каждые 10 градусов.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Приближенной характеристикой зависимости скорости реакции от температуры является коэффициент реакции γ – отношение константы скорости при температуре </w:t>
      </w:r>
      <w:r>
        <w:rPr>
          <w:i/>
          <w:iCs/>
        </w:rPr>
        <w:t>Т+10</w:t>
      </w:r>
      <w:r>
        <w:t xml:space="preserve"> к константе скорости при температуре </w:t>
      </w:r>
      <w:r>
        <w:rPr>
          <w:i/>
          <w:iCs/>
        </w:rPr>
        <w:t>Т</w:t>
      </w:r>
      <w:r>
        <w:t>:</w:t>
      </w:r>
    </w:p>
    <w:p w:rsidR="00BC6DF7" w:rsidRDefault="001F7F95">
      <w:pPr>
        <w:pStyle w:val="deftxt"/>
        <w:spacing w:line="360" w:lineRule="auto"/>
        <w:ind w:left="450" w:right="150"/>
        <w:jc w:val="right"/>
      </w:pPr>
      <w:r>
        <w:rPr>
          <w:vertAlign w:val="subscrip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3.25pt;height:35.25pt">
            <v:imagedata r:id="rId5" o:title=""/>
          </v:shape>
        </w:pict>
      </w:r>
      <w:r w:rsidR="00BC6DF7">
        <w:t>.                                         (5.1)</w:t>
      </w:r>
    </w:p>
    <w:p w:rsidR="00BC6DF7" w:rsidRDefault="00BC6DF7">
      <w:pPr>
        <w:pStyle w:val="deftxt"/>
        <w:spacing w:line="360" w:lineRule="auto"/>
        <w:ind w:left="450" w:right="150"/>
      </w:pPr>
      <w:r>
        <w:t>Это соотношение, называемое правилом Вант–Гоффа, может быть применено лишь для приблизительных, ориентировочных расчетов. Это правило не выполняется при высоких температурах, когда температурный коэффициент скорости (γ) перестает быть постоянным, приближаясь к единице. Однако для узкого интервала температур правило Вант–Гоффа часто бывает полезным.</w:t>
      </w:r>
    </w:p>
    <w:p w:rsidR="00BC6DF7" w:rsidRDefault="00BC6DF7">
      <w:pPr>
        <w:pStyle w:val="deftxt"/>
        <w:spacing w:line="360" w:lineRule="auto"/>
        <w:ind w:left="450" w:right="150"/>
      </w:pPr>
      <w:r>
        <w:t>Расчеты показывают, что увеличение скорости реакции при повышении температуры не может быть объяснимо лишь возрастанием числа столкновений. Это происходит потому, что не каждое столкновение частиц приводит к химической реакции. Лишь тогда, когда сталкивающиеся молекулы обладают определенной энергией, столкновение может быть эффективным и привести к химической реакции. Эти предположения были впервые высказаны А. Аррениусом. Согласно ученому, к реакции приводит столкновение лишь тех молекул, энергия которых больше определенной величины Е</w:t>
      </w:r>
      <w:r>
        <w:rPr>
          <w:vertAlign w:val="subscript"/>
        </w:rPr>
        <w:t>а</w:t>
      </w:r>
      <w:r>
        <w:t xml:space="preserve">. </w:t>
      </w:r>
    </w:p>
    <w:p w:rsidR="00BC6DF7" w:rsidRDefault="00BC6DF7">
      <w:pPr>
        <w:pStyle w:val="deftxt"/>
        <w:spacing w:line="360" w:lineRule="auto"/>
        <w:ind w:left="450" w:right="150"/>
      </w:pPr>
      <w:r>
        <w:t>Таким образом, химическое взаимодействие осуществляется только между соударяющимися молекулами, которые достигли определенного энергетического уровня, характерного для данной реакции, ее энергетического барьера. Такие молекулы часто называют активными.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На основе взглядов Аррениуса была разработана теория активных соударений на базе молекулярно-кинетических представлений. Предложено считать активными столкновения, в которых суммарная энергия сталкивающихся возбужденных молекул </w:t>
      </w:r>
      <w:r>
        <w:rPr>
          <w:i/>
          <w:iCs/>
        </w:rPr>
        <w:t>А</w:t>
      </w:r>
      <w:r>
        <w:rPr>
          <w:i/>
          <w:iCs/>
          <w:vertAlign w:val="superscript"/>
        </w:rPr>
        <w:t>*</w:t>
      </w:r>
      <w:r>
        <w:t xml:space="preserve"> и </w:t>
      </w:r>
      <w:r>
        <w:rPr>
          <w:i/>
          <w:iCs/>
        </w:rPr>
        <w:t>В</w:t>
      </w:r>
      <w:r>
        <w:rPr>
          <w:i/>
          <w:iCs/>
          <w:vertAlign w:val="superscript"/>
        </w:rPr>
        <w:t>*</w:t>
      </w:r>
      <w:r>
        <w:t xml:space="preserve"> равна или больше </w:t>
      </w:r>
      <w:r>
        <w:rPr>
          <w:i/>
          <w:iCs/>
        </w:rPr>
        <w:t>Е</w:t>
      </w:r>
      <w:r>
        <w:rPr>
          <w:i/>
          <w:iCs/>
          <w:vertAlign w:val="subscript"/>
        </w:rPr>
        <w:t>а</w:t>
      </w:r>
      <w:r>
        <w:t xml:space="preserve">. При столкновении молекулы сближаются до расстояния, которое называется эффективным диаметром столкновений </w:t>
      </w:r>
      <w:r>
        <w:rPr>
          <w:i/>
          <w:iCs/>
        </w:rPr>
        <w:t>d</w:t>
      </w:r>
      <w:r>
        <w:rPr>
          <w:i/>
          <w:iCs/>
          <w:vertAlign w:val="subscript"/>
        </w:rPr>
        <w:t>эфф</w:t>
      </w:r>
      <w:r>
        <w:t xml:space="preserve"> и при котором электроны и атомы одной молекулы попадают в поле действия электрических сил, возбуждаемых частицами другой молекулы. Только при таких условиях может произойти разрыв связей в исходных веществах и образование новых молекул. В первом приближении</w:t>
      </w:r>
    </w:p>
    <w:p w:rsidR="00BC6DF7" w:rsidRDefault="001F7F95">
      <w:pPr>
        <w:pStyle w:val="deftxt"/>
        <w:spacing w:line="360" w:lineRule="auto"/>
        <w:ind w:left="450" w:right="150"/>
        <w:jc w:val="right"/>
      </w:pPr>
      <w:r>
        <w:rPr>
          <w:vertAlign w:val="subscript"/>
        </w:rPr>
        <w:pict>
          <v:shape id="_x0000_i1026" type="#_x0000_t75" alt="" style="width:80.25pt;height:32.25pt">
            <v:imagedata r:id="rId6" o:title=""/>
          </v:shape>
        </w:pict>
      </w:r>
      <w:r w:rsidR="00BC6DF7">
        <w:t>.                                         (5.2)</w:t>
      </w:r>
    </w:p>
    <w:p w:rsidR="00BC6DF7" w:rsidRDefault="00BC6DF7">
      <w:pPr>
        <w:pStyle w:val="deftxt"/>
        <w:spacing w:line="360" w:lineRule="auto"/>
        <w:ind w:left="450" w:right="150"/>
      </w:pPr>
      <w:r>
        <w:t>Все молекулы, запас энергии которых не ниже энергетического барьера реакции, находятся в особом состоянии, которое принято называть переходным, или состоянием активированного комплекса. Можно предположить, что система в состоянии активированного комплекса характеризуется тем, что в ней уже нет исходных веществ, но нет еще и продуктов реакций; исходные вещества переходят в продукты реакции.</w:t>
      </w:r>
    </w:p>
    <w:p w:rsidR="00BC6DF7" w:rsidRDefault="00BC6DF7">
      <w:pPr>
        <w:pStyle w:val="deftxt"/>
        <w:spacing w:line="360" w:lineRule="auto"/>
        <w:ind w:left="450" w:right="150"/>
      </w:pPr>
      <w:r>
        <w:t>Покажем схематически переход от исходных веществ А и В к продуктам реакции С и Д через состояние активированного комплекса А….В (рис. 5.1)</w:t>
      </w:r>
    </w:p>
    <w:p w:rsidR="00BC6DF7" w:rsidRDefault="001F7F95">
      <w:pPr>
        <w:pStyle w:val="deftxt"/>
        <w:spacing w:line="360" w:lineRule="auto"/>
        <w:ind w:left="450" w:right="150"/>
      </w:pPr>
      <w:r>
        <w:pict>
          <v:shape id="_x0000_i1027" type="#_x0000_t75" alt="" style="width:267pt;height:212.25pt">
            <v:imagedata r:id="rId7" o:title=""/>
          </v:shape>
        </w:pict>
      </w:r>
    </w:p>
    <w:p w:rsidR="00BC6DF7" w:rsidRDefault="00BC6DF7">
      <w:pPr>
        <w:pStyle w:val="deftxt"/>
        <w:spacing w:line="360" w:lineRule="auto"/>
        <w:ind w:left="450" w:right="150"/>
      </w:pPr>
      <w:r>
        <w:t>Рисунок 5.1 – Изменение энергии в ходе экзотермической реакции</w:t>
      </w:r>
    </w:p>
    <w:p w:rsidR="00BC6DF7" w:rsidRDefault="00BC6DF7">
      <w:pPr>
        <w:pStyle w:val="deftxt"/>
        <w:spacing w:line="360" w:lineRule="auto"/>
        <w:ind w:left="450" w:right="150"/>
      </w:pPr>
      <w:r>
        <w:t>Примем средний уровень энергии молекул исходных веществ в системе равным Е</w:t>
      </w:r>
      <w:r>
        <w:rPr>
          <w:vertAlign w:val="subscript"/>
        </w:rPr>
        <w:t>1</w:t>
      </w:r>
      <w:r>
        <w:t>, а среднюю энергию переходного состояния – Е</w:t>
      </w:r>
      <w:r>
        <w:rPr>
          <w:vertAlign w:val="superscript"/>
        </w:rPr>
        <w:t>|</w:t>
      </w:r>
      <w:r>
        <w:t>, то разность Е</w:t>
      </w:r>
      <w:r>
        <w:rPr>
          <w:vertAlign w:val="superscript"/>
        </w:rPr>
        <w:t>|</w:t>
      </w:r>
      <w:r>
        <w:t xml:space="preserve"> - Е</w:t>
      </w:r>
      <w:r>
        <w:rPr>
          <w:vertAlign w:val="subscript"/>
        </w:rPr>
        <w:t>1</w:t>
      </w:r>
      <w:r>
        <w:t xml:space="preserve"> будет выражать энергию активации данной реакции – Е</w:t>
      </w:r>
      <w:r>
        <w:rPr>
          <w:vertAlign w:val="subscript"/>
        </w:rPr>
        <w:t>а</w:t>
      </w:r>
      <w:r>
        <w:t xml:space="preserve">. Энергия системы в переходном состоянии максимальна, а это значит, что активный комплекс крайне неустойчив. По ходу реакции он превращается в продукты взаимодействия С и D. В рассматриваемом примере средний уровень энергии молекул продуктов реакции </w:t>
      </w:r>
      <w:r>
        <w:rPr>
          <w:i/>
          <w:iCs/>
        </w:rPr>
        <w:t>Е</w:t>
      </w:r>
      <w:r>
        <w:rPr>
          <w:i/>
          <w:iCs/>
          <w:vertAlign w:val="subscript"/>
        </w:rPr>
        <w:t>2</w:t>
      </w:r>
      <w:r>
        <w:t xml:space="preserve"> ниже среднего уровня энергии молекул исходных веществ </w:t>
      </w:r>
      <w:r>
        <w:rPr>
          <w:i/>
          <w:iCs/>
        </w:rPr>
        <w:t>Е</w:t>
      </w:r>
      <w:r>
        <w:rPr>
          <w:i/>
          <w:iCs/>
          <w:vertAlign w:val="subscript"/>
        </w:rPr>
        <w:t>1</w:t>
      </w:r>
      <w:r>
        <w:t>. Это означает, что процесс протекает с выделением энергии (реакция экзотермическая).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Средний уровень энергии молекул продуктов реакции </w:t>
      </w:r>
      <w:r>
        <w:rPr>
          <w:i/>
          <w:iCs/>
        </w:rPr>
        <w:t>Е</w:t>
      </w:r>
      <w:r>
        <w:rPr>
          <w:i/>
          <w:iCs/>
          <w:vertAlign w:val="subscript"/>
        </w:rPr>
        <w:t>2</w:t>
      </w:r>
      <w:r>
        <w:t xml:space="preserve"> может быть выше среднего уровня энергии молекул исходных веществ </w:t>
      </w:r>
      <w:r>
        <w:rPr>
          <w:i/>
          <w:iCs/>
        </w:rPr>
        <w:t>Е</w:t>
      </w:r>
      <w:r>
        <w:rPr>
          <w:i/>
          <w:iCs/>
          <w:vertAlign w:val="subscript"/>
        </w:rPr>
        <w:t>1</w:t>
      </w:r>
      <w:r>
        <w:t xml:space="preserve"> (рис. 5.2).</w:t>
      </w:r>
    </w:p>
    <w:p w:rsidR="00BC6DF7" w:rsidRDefault="001F7F95">
      <w:pPr>
        <w:pStyle w:val="deftxt"/>
        <w:spacing w:line="360" w:lineRule="auto"/>
        <w:ind w:left="450" w:right="150"/>
      </w:pPr>
      <w:r>
        <w:pict>
          <v:shape id="_x0000_i1028" type="#_x0000_t75" alt="" style="width:262.5pt;height:207.75pt">
            <v:imagedata r:id="rId8" o:title=""/>
          </v:shape>
        </w:pict>
      </w:r>
    </w:p>
    <w:p w:rsidR="00BC6DF7" w:rsidRDefault="00BC6DF7">
      <w:pPr>
        <w:pStyle w:val="deftxt"/>
        <w:spacing w:line="360" w:lineRule="auto"/>
        <w:ind w:left="450" w:right="150"/>
      </w:pPr>
      <w:r>
        <w:t>Рисунок 5.2 – Изменение энергии в ходе эндотермической реакции</w:t>
      </w:r>
    </w:p>
    <w:p w:rsidR="00BC6DF7" w:rsidRDefault="00BC6DF7">
      <w:pPr>
        <w:pStyle w:val="deftxt"/>
        <w:spacing w:line="360" w:lineRule="auto"/>
        <w:ind w:left="450" w:right="150"/>
      </w:pPr>
      <w:r>
        <w:t>Процесс протекает с поглощением энергии (реакция эндотермическая). Разность</w:t>
      </w:r>
      <w:r>
        <w:rPr>
          <w:i/>
          <w:iCs/>
        </w:rPr>
        <w:t xml:space="preserve"> Е</w:t>
      </w:r>
      <w:r>
        <w:rPr>
          <w:i/>
          <w:iCs/>
          <w:vertAlign w:val="subscript"/>
        </w:rPr>
        <w:t>2</w:t>
      </w:r>
      <w:r>
        <w:rPr>
          <w:i/>
          <w:iCs/>
        </w:rPr>
        <w:t xml:space="preserve"> – Е</w:t>
      </w:r>
      <w:r>
        <w:rPr>
          <w:i/>
          <w:iCs/>
          <w:vertAlign w:val="subscript"/>
        </w:rPr>
        <w:t>1</w:t>
      </w:r>
      <w:r>
        <w:t xml:space="preserve"> равна тепловому эффекту процесса </w:t>
      </w:r>
      <w:r>
        <w:rPr>
          <w:i/>
          <w:iCs/>
        </w:rPr>
        <w:t>ΔН</w:t>
      </w:r>
      <w:r>
        <w:t>.</w:t>
      </w:r>
    </w:p>
    <w:p w:rsidR="00BC6DF7" w:rsidRDefault="00BC6DF7">
      <w:pPr>
        <w:pStyle w:val="deftxt"/>
        <w:spacing w:line="360" w:lineRule="auto"/>
        <w:ind w:left="450" w:right="150"/>
      </w:pPr>
      <w:r>
        <w:t>Зависимость константы скорости реакции от температуры Аррениусом была представлена в виде:</w:t>
      </w:r>
    </w:p>
    <w:p w:rsidR="00BC6DF7" w:rsidRDefault="001F7F95">
      <w:pPr>
        <w:pStyle w:val="deftxt"/>
        <w:spacing w:line="360" w:lineRule="auto"/>
        <w:ind w:left="450" w:right="150"/>
        <w:jc w:val="right"/>
      </w:pPr>
      <w:r>
        <w:rPr>
          <w:vertAlign w:val="subscript"/>
        </w:rPr>
        <w:pict>
          <v:shape id="_x0000_i1029" type="#_x0000_t75" alt="" style="width:57.75pt;height:27pt">
            <v:imagedata r:id="rId9" o:title=""/>
          </v:shape>
        </w:pict>
      </w:r>
      <w:r w:rsidR="00BC6DF7">
        <w:t>,                                               (5.3)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где </w:t>
      </w:r>
      <w:r>
        <w:rPr>
          <w:i/>
          <w:iCs/>
        </w:rPr>
        <w:t>А</w:t>
      </w:r>
      <w:r>
        <w:t xml:space="preserve"> – предэкспотенциальный множитель, не зависящий от температур;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       </w:t>
      </w:r>
      <w:r>
        <w:rPr>
          <w:i/>
          <w:iCs/>
        </w:rPr>
        <w:t>Т</w:t>
      </w:r>
      <w:r>
        <w:t xml:space="preserve"> – температура, К;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       </w:t>
      </w:r>
      <w:r>
        <w:rPr>
          <w:i/>
          <w:iCs/>
        </w:rPr>
        <w:t>R</w:t>
      </w:r>
      <w:r>
        <w:t xml:space="preserve"> – газовая постоянная;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       </w:t>
      </w:r>
      <w:r>
        <w:rPr>
          <w:i/>
          <w:iCs/>
        </w:rPr>
        <w:t>E</w:t>
      </w:r>
      <w:r>
        <w:rPr>
          <w:i/>
          <w:iCs/>
          <w:vertAlign w:val="subscript"/>
        </w:rPr>
        <w:t>а</w:t>
      </w:r>
      <w:r>
        <w:t xml:space="preserve"> – энергия активации (кал/моль, Дж/моль).</w:t>
      </w:r>
    </w:p>
    <w:p w:rsidR="00BC6DF7" w:rsidRDefault="00BC6DF7">
      <w:pPr>
        <w:pStyle w:val="deftxt"/>
        <w:spacing w:line="360" w:lineRule="auto"/>
        <w:ind w:left="450" w:right="150"/>
      </w:pPr>
      <w:r>
        <w:t>В химической кинетике часто пользуются уравнением Аррениуса в логарифмической форме:</w:t>
      </w:r>
    </w:p>
    <w:p w:rsidR="00BC6DF7" w:rsidRDefault="001F7F95">
      <w:pPr>
        <w:pStyle w:val="deftxt"/>
        <w:spacing w:line="360" w:lineRule="auto"/>
        <w:ind w:left="450" w:right="150"/>
        <w:jc w:val="right"/>
      </w:pPr>
      <w:r>
        <w:rPr>
          <w:vertAlign w:val="subscript"/>
        </w:rPr>
        <w:pict>
          <v:shape id="_x0000_i1030" type="#_x0000_t75" alt="" style="width:90.75pt;height:32.25pt">
            <v:imagedata r:id="rId10" o:title=""/>
          </v:shape>
        </w:pict>
      </w:r>
      <w:r w:rsidR="00BC6DF7">
        <w:t>                                        (5.4)</w:t>
      </w:r>
    </w:p>
    <w:p w:rsidR="00BC6DF7" w:rsidRDefault="00BC6DF7">
      <w:pPr>
        <w:pStyle w:val="deftxt"/>
        <w:spacing w:line="360" w:lineRule="auto"/>
        <w:ind w:left="450" w:right="150"/>
      </w:pPr>
      <w:r>
        <w:t>или</w:t>
      </w:r>
    </w:p>
    <w:p w:rsidR="00BC6DF7" w:rsidRDefault="001F7F95">
      <w:pPr>
        <w:pStyle w:val="deftxt"/>
        <w:spacing w:line="360" w:lineRule="auto"/>
        <w:ind w:left="450" w:right="150"/>
        <w:jc w:val="right"/>
      </w:pPr>
      <w:r>
        <w:rPr>
          <w:vertAlign w:val="subscript"/>
        </w:rPr>
        <w:pict>
          <v:shape id="_x0000_i1031" type="#_x0000_t75" alt="" style="width:117pt;height:33.75pt">
            <v:imagedata r:id="rId11" o:title=""/>
          </v:shape>
        </w:pict>
      </w:r>
      <w:r w:rsidR="00BC6DF7">
        <w:t>.                                                                     (5.5)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Из уравнений (5.4) (5.5) следует, что зависимость </w:t>
      </w:r>
      <w:r w:rsidR="001F7F95">
        <w:rPr>
          <w:vertAlign w:val="subscript"/>
        </w:rPr>
        <w:pict>
          <v:shape id="_x0000_i1032" type="#_x0000_t75" alt="" style="width:42.75pt;height:30.75pt">
            <v:imagedata r:id="rId12" o:title=""/>
          </v:shape>
        </w:pict>
      </w:r>
      <w:r>
        <w:t>линейна (рис. 5.3)</w:t>
      </w:r>
    </w:p>
    <w:p w:rsidR="00BC6DF7" w:rsidRDefault="001F7F95">
      <w:pPr>
        <w:pStyle w:val="deftxt"/>
        <w:spacing w:line="360" w:lineRule="auto"/>
        <w:ind w:left="450" w:right="150"/>
      </w:pPr>
      <w:r>
        <w:pict>
          <v:shape id="_x0000_i1033" type="#_x0000_t75" alt="" style="width:280.5pt;height:164.25pt">
            <v:imagedata r:id="rId13" o:title=""/>
          </v:shape>
        </w:pict>
      </w:r>
    </w:p>
    <w:p w:rsidR="00BC6DF7" w:rsidRDefault="00BC6DF7">
      <w:pPr>
        <w:pStyle w:val="a3"/>
        <w:spacing w:before="0" w:beforeAutospacing="0" w:after="0" w:afterAutospacing="0"/>
        <w:ind w:left="225" w:right="75"/>
        <w:jc w:val="both"/>
        <w:rPr>
          <w:rFonts w:ascii="Verdana" w:hAnsi="Verdana"/>
          <w:sz w:val="18"/>
          <w:szCs w:val="18"/>
        </w:rPr>
      </w:pPr>
      <w:r>
        <w:rPr>
          <w:rStyle w:val="deftxt1"/>
        </w:rPr>
        <w:t xml:space="preserve">  </w:t>
      </w:r>
      <w:r>
        <w:rPr>
          <w:rFonts w:ascii="Verdana" w:hAnsi="Verdana"/>
          <w:sz w:val="18"/>
          <w:szCs w:val="18"/>
        </w:rPr>
        <w:t>Рисунок 5.3 – Зависимость константы скорости химической реакции</w:t>
      </w:r>
    </w:p>
    <w:p w:rsidR="00BC6DF7" w:rsidRDefault="00BC6DF7">
      <w:pPr>
        <w:pStyle w:val="deftxt"/>
        <w:spacing w:line="360" w:lineRule="auto"/>
        <w:ind w:left="450" w:right="150"/>
        <w:jc w:val="center"/>
      </w:pPr>
      <w:r>
        <w:t>от температуры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Линейная зависимость </w:t>
      </w:r>
      <w:r>
        <w:rPr>
          <w:i/>
          <w:iCs/>
        </w:rPr>
        <w:t>(</w:t>
      </w:r>
      <w:r>
        <w:t>ln</w:t>
      </w:r>
      <w:r>
        <w:rPr>
          <w:i/>
          <w:iCs/>
        </w:rPr>
        <w:t>k-</w:t>
      </w:r>
      <w:r>
        <w:t>1/</w:t>
      </w:r>
      <w:r>
        <w:rPr>
          <w:i/>
          <w:iCs/>
        </w:rPr>
        <w:t>T)</w:t>
      </w:r>
      <w:r>
        <w:t xml:space="preserve"> позволяет определить энергию активации </w:t>
      </w:r>
      <w:r>
        <w:rPr>
          <w:i/>
          <w:iCs/>
        </w:rPr>
        <w:t>Е</w:t>
      </w:r>
      <w:r>
        <w:rPr>
          <w:i/>
          <w:iCs/>
          <w:vertAlign w:val="subscript"/>
        </w:rPr>
        <w:t>а</w:t>
      </w:r>
      <w:r>
        <w:t xml:space="preserve"> по тангенсу наклона прямой </w:t>
      </w:r>
      <w:r w:rsidR="001F7F95">
        <w:rPr>
          <w:vertAlign w:val="subscript"/>
        </w:rPr>
        <w:pict>
          <v:shape id="_x0000_i1034" type="#_x0000_t75" alt="" style="width:66pt;height:32.25pt">
            <v:imagedata r:id="rId14" o:title=""/>
          </v:shape>
        </w:pict>
      </w:r>
      <w:r>
        <w:t>и предэкспотенциальный множитель А по отрезку, отсекаемому прямой на оси ординат, когда 1/</w:t>
      </w:r>
      <w:r>
        <w:rPr>
          <w:i/>
          <w:iCs/>
        </w:rPr>
        <w:t>Т</w:t>
      </w:r>
      <w:r>
        <w:t>=0.</w:t>
      </w:r>
    </w:p>
    <w:p w:rsidR="00BC6DF7" w:rsidRDefault="00BC6DF7">
      <w:pPr>
        <w:pStyle w:val="deftxt"/>
        <w:spacing w:line="360" w:lineRule="auto"/>
        <w:ind w:left="450" w:right="150"/>
      </w:pPr>
      <w:r>
        <w:t>Дифференцируя уравнение 5.4 по температуре, получим:</w:t>
      </w:r>
    </w:p>
    <w:p w:rsidR="00BC6DF7" w:rsidRDefault="001F7F95">
      <w:pPr>
        <w:pStyle w:val="deftxt"/>
        <w:spacing w:line="360" w:lineRule="auto"/>
        <w:ind w:left="450" w:right="150"/>
        <w:jc w:val="right"/>
      </w:pPr>
      <w:r>
        <w:rPr>
          <w:vertAlign w:val="subscript"/>
        </w:rPr>
        <w:pict>
          <v:shape id="_x0000_i1035" type="#_x0000_t75" alt="" style="width:69pt;height:32.25pt">
            <v:imagedata r:id="rId15" o:title=""/>
          </v:shape>
        </w:pict>
      </w:r>
      <w:r w:rsidR="00BC6DF7">
        <w:t>.                                            (5.6)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Величина </w:t>
      </w:r>
      <w:r w:rsidR="001F7F95">
        <w:rPr>
          <w:vertAlign w:val="subscript"/>
        </w:rPr>
        <w:pict>
          <v:shape id="_x0000_i1036" type="#_x0000_t75" alt="" style="width:45.75pt;height:32.25pt">
            <v:imagedata r:id="rId16" o:title=""/>
          </v:shape>
        </w:pict>
      </w:r>
      <w:r>
        <w:t>, логарифм константы скорости, а следовательно, и сама константа с температурой возрастает.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Энергию активации можно также найти из уравнения (5.6), проинтегрировав его от </w:t>
      </w:r>
      <w:r>
        <w:rPr>
          <w:i/>
          <w:iCs/>
        </w:rPr>
        <w:t>Т</w:t>
      </w:r>
      <w:r>
        <w:rPr>
          <w:i/>
          <w:iCs/>
          <w:vertAlign w:val="subscript"/>
        </w:rPr>
        <w:t>1</w:t>
      </w:r>
      <w:r>
        <w:t xml:space="preserve"> до </w:t>
      </w:r>
      <w:r>
        <w:rPr>
          <w:i/>
          <w:iCs/>
        </w:rPr>
        <w:t>Т</w:t>
      </w:r>
      <w:r>
        <w:rPr>
          <w:i/>
          <w:iCs/>
          <w:vertAlign w:val="subscript"/>
        </w:rPr>
        <w:t>2</w:t>
      </w:r>
      <w:r>
        <w:t>:</w:t>
      </w:r>
    </w:p>
    <w:p w:rsidR="00BC6DF7" w:rsidRDefault="001F7F95">
      <w:pPr>
        <w:pStyle w:val="deftxt"/>
        <w:spacing w:line="360" w:lineRule="auto"/>
        <w:ind w:left="450" w:right="150"/>
        <w:jc w:val="center"/>
      </w:pPr>
      <w:r>
        <w:rPr>
          <w:vertAlign w:val="subscript"/>
        </w:rPr>
        <w:pict>
          <v:shape id="_x0000_i1037" type="#_x0000_t75" alt="" style="width:168pt;height:39pt">
            <v:imagedata r:id="rId17" o:title=""/>
          </v:shape>
        </w:pict>
      </w:r>
    </w:p>
    <w:p w:rsidR="00BC6DF7" w:rsidRDefault="00BC6DF7">
      <w:pPr>
        <w:pStyle w:val="deftxt"/>
        <w:spacing w:line="360" w:lineRule="auto"/>
        <w:ind w:left="450" w:right="150"/>
      </w:pPr>
      <w:r>
        <w:t>или</w:t>
      </w:r>
    </w:p>
    <w:p w:rsidR="00BC6DF7" w:rsidRDefault="001F7F95">
      <w:pPr>
        <w:pStyle w:val="deftxt"/>
        <w:spacing w:line="360" w:lineRule="auto"/>
        <w:ind w:left="450" w:right="150"/>
        <w:jc w:val="right"/>
      </w:pPr>
      <w:r>
        <w:rPr>
          <w:vertAlign w:val="subscript"/>
        </w:rPr>
        <w:pict>
          <v:shape id="_x0000_i1038" type="#_x0000_t75" alt="" style="width:117.75pt;height:39pt">
            <v:imagedata r:id="rId18" o:title=""/>
          </v:shape>
        </w:pict>
      </w:r>
      <w:r w:rsidR="00BC6DF7">
        <w:t>.                                         (5.7)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Из уравнения 5.7 можно определить величину энергии активации, если известны значения констант скорости  при двух температурах: </w:t>
      </w:r>
      <w:r>
        <w:rPr>
          <w:i/>
          <w:iCs/>
        </w:rPr>
        <w:t>Т</w:t>
      </w:r>
      <w:r>
        <w:rPr>
          <w:i/>
          <w:iCs/>
          <w:vertAlign w:val="subscript"/>
        </w:rPr>
        <w:t>1</w:t>
      </w:r>
      <w:r>
        <w:t xml:space="preserve"> и </w:t>
      </w:r>
      <w:r>
        <w:rPr>
          <w:i/>
          <w:iCs/>
        </w:rPr>
        <w:t>Т</w:t>
      </w:r>
      <w:r>
        <w:rPr>
          <w:i/>
          <w:iCs/>
          <w:vertAlign w:val="subscript"/>
        </w:rPr>
        <w:t>2</w:t>
      </w:r>
      <w:r>
        <w:t>.</w:t>
      </w:r>
    </w:p>
    <w:tbl>
      <w:tblPr>
        <w:tblW w:w="4500" w:type="pct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909"/>
        <w:gridCol w:w="476"/>
        <w:gridCol w:w="3170"/>
      </w:tblGrid>
      <w:tr w:rsidR="00BC6DF7">
        <w:trPr>
          <w:tblCellSpacing w:w="15" w:type="dxa"/>
          <w:jc w:val="center"/>
        </w:trPr>
        <w:tc>
          <w:tcPr>
            <w:tcW w:w="0" w:type="auto"/>
            <w:shd w:val="clear" w:color="auto" w:fill="99FFCC"/>
            <w:vAlign w:val="center"/>
          </w:tcPr>
          <w:p w:rsidR="00BC6DF7" w:rsidRDefault="001F7F95">
            <w:pPr>
              <w:jc w:val="center"/>
              <w:rPr>
                <w:rFonts w:ascii="Arial Unicode MS" w:eastAsia="Arial Unicode MS" w:hAnsi="Arial Unicode MS" w:cs="Arial Unicode MS"/>
                <w:color w:val="000000"/>
              </w:rPr>
            </w:pPr>
            <w:hyperlink r:id="rId19" w:history="1">
              <w:r w:rsidR="00BC6DF7">
                <w:rPr>
                  <w:rStyle w:val="a4"/>
                  <w:sz w:val="20"/>
                  <w:szCs w:val="20"/>
                </w:rPr>
                <w:t>Содержание</w:t>
              </w:r>
            </w:hyperlink>
            <w:r w:rsidR="00BC6DF7">
              <w:t xml:space="preserve"> </w:t>
            </w:r>
          </w:p>
        </w:tc>
        <w:tc>
          <w:tcPr>
            <w:tcW w:w="0" w:type="auto"/>
            <w:vAlign w:val="center"/>
          </w:tcPr>
          <w:p w:rsidR="00BC6DF7" w:rsidRDefault="00BC6DF7">
            <w:pPr>
              <w:rPr>
                <w:rFonts w:ascii="Arial Unicode MS" w:eastAsia="Arial Unicode MS" w:hAnsi="Arial Unicode MS" w:cs="Arial Unicode MS"/>
                <w:color w:val="000000"/>
              </w:rPr>
            </w:pPr>
          </w:p>
        </w:tc>
        <w:tc>
          <w:tcPr>
            <w:tcW w:w="0" w:type="auto"/>
            <w:shd w:val="clear" w:color="auto" w:fill="99FFCC"/>
            <w:vAlign w:val="center"/>
          </w:tcPr>
          <w:p w:rsidR="00BC6DF7" w:rsidRDefault="001F7F95">
            <w:pPr>
              <w:jc w:val="center"/>
              <w:rPr>
                <w:rFonts w:ascii="Arial Unicode MS" w:eastAsia="Arial Unicode MS" w:hAnsi="Arial Unicode MS" w:cs="Arial Unicode MS"/>
                <w:color w:val="000000"/>
              </w:rPr>
            </w:pPr>
            <w:hyperlink r:id="rId20" w:anchor="h" w:history="1">
              <w:r w:rsidR="00BC6DF7">
                <w:rPr>
                  <w:rStyle w:val="a4"/>
                  <w:sz w:val="20"/>
                  <w:szCs w:val="20"/>
                </w:rPr>
                <w:t>Начало</w:t>
              </w:r>
            </w:hyperlink>
            <w:r w:rsidR="00BC6DF7">
              <w:t xml:space="preserve"> </w:t>
            </w:r>
          </w:p>
        </w:tc>
      </w:tr>
    </w:tbl>
    <w:p w:rsidR="00BC6DF7" w:rsidRDefault="00BC6DF7">
      <w:pPr>
        <w:pStyle w:val="deftxt"/>
        <w:spacing w:line="360" w:lineRule="auto"/>
        <w:ind w:left="450" w:right="150"/>
      </w:pPr>
      <w:r>
        <w:t> </w:t>
      </w:r>
    </w:p>
    <w:p w:rsidR="00BC6DF7" w:rsidRDefault="00BC6DF7">
      <w:pPr>
        <w:pStyle w:val="deftxt"/>
        <w:spacing w:line="360" w:lineRule="auto"/>
        <w:ind w:left="450" w:right="150"/>
      </w:pPr>
      <w:r>
        <w:rPr>
          <w:b/>
          <w:bCs/>
        </w:rPr>
        <w:t>5.2 Связь энергии активации с тепловым эффектом</w:t>
      </w:r>
    </w:p>
    <w:p w:rsidR="00BC6DF7" w:rsidRDefault="00BC6DF7">
      <w:pPr>
        <w:pStyle w:val="deftxt"/>
        <w:spacing w:line="360" w:lineRule="auto"/>
        <w:ind w:left="450" w:right="150"/>
      </w:pPr>
      <w:r>
        <w:t>Пусть протекает реакция:</w:t>
      </w:r>
    </w:p>
    <w:p w:rsidR="00BC6DF7" w:rsidRDefault="001F7F95">
      <w:pPr>
        <w:pStyle w:val="deftxt"/>
        <w:spacing w:line="360" w:lineRule="auto"/>
        <w:ind w:left="450" w:right="150"/>
      </w:pPr>
      <w:r>
        <w:rPr>
          <w:vertAlign w:val="subscript"/>
        </w:rPr>
        <w:pict>
          <v:shape id="_x0000_i1039" type="#_x0000_t75" alt="" style="width:51pt;height:39.75pt">
            <v:imagedata r:id="rId21" o:title=""/>
          </v:shape>
        </w:pict>
      </w:r>
    </w:p>
    <w:p w:rsidR="00BC6DF7" w:rsidRDefault="00BC6DF7">
      <w:pPr>
        <w:pStyle w:val="deftxt"/>
        <w:spacing w:line="360" w:lineRule="auto"/>
        <w:ind w:left="450" w:right="150"/>
      </w:pPr>
      <w:r>
        <w:t>Тогда для прямой реакции</w:t>
      </w:r>
    </w:p>
    <w:p w:rsidR="00BC6DF7" w:rsidRDefault="001F7F95">
      <w:pPr>
        <w:pStyle w:val="deftxt"/>
        <w:spacing w:line="360" w:lineRule="auto"/>
        <w:ind w:left="450" w:right="150"/>
      </w:pPr>
      <w:r>
        <w:rPr>
          <w:vertAlign w:val="subscript"/>
        </w:rPr>
        <w:pict>
          <v:shape id="_x0000_i1040" type="#_x0000_t75" alt="" style="width:57pt;height:24.75pt">
            <v:imagedata r:id="rId22" o:title=""/>
          </v:shape>
        </w:pict>
      </w:r>
      <w:r w:rsidR="00BC6DF7">
        <w:t xml:space="preserve">и </w:t>
      </w:r>
      <w:r>
        <w:rPr>
          <w:vertAlign w:val="subscript"/>
        </w:rPr>
        <w:pict>
          <v:shape id="_x0000_i1041" type="#_x0000_t75" alt="" style="width:68.25pt;height:33.75pt">
            <v:imagedata r:id="rId23" o:title=""/>
          </v:shape>
        </w:pict>
      </w:r>
      <w:r w:rsidR="00BC6DF7">
        <w:t>;</w:t>
      </w:r>
    </w:p>
    <w:p w:rsidR="00BC6DF7" w:rsidRDefault="00BC6DF7">
      <w:pPr>
        <w:pStyle w:val="deftxt"/>
        <w:spacing w:line="360" w:lineRule="auto"/>
        <w:ind w:left="450" w:right="150"/>
      </w:pPr>
      <w:r>
        <w:t>для обратной реакции</w:t>
      </w:r>
    </w:p>
    <w:p w:rsidR="00BC6DF7" w:rsidRDefault="001F7F95">
      <w:pPr>
        <w:pStyle w:val="deftxt"/>
        <w:spacing w:line="360" w:lineRule="auto"/>
        <w:ind w:left="450" w:right="150"/>
      </w:pPr>
      <w:r>
        <w:rPr>
          <w:vertAlign w:val="subscript"/>
        </w:rPr>
        <w:pict>
          <v:shape id="_x0000_i1042" type="#_x0000_t75" alt="" style="width:57pt;height:24.75pt">
            <v:imagedata r:id="rId24" o:title=""/>
          </v:shape>
        </w:pict>
      </w:r>
      <w:r w:rsidR="00BC6DF7">
        <w:t xml:space="preserve">и </w:t>
      </w:r>
      <w:r>
        <w:rPr>
          <w:vertAlign w:val="subscript"/>
        </w:rPr>
        <w:pict>
          <v:shape id="_x0000_i1043" type="#_x0000_t75" alt="" style="width:68.25pt;height:33.75pt">
            <v:imagedata r:id="rId25" o:title=""/>
          </v:shape>
        </w:pict>
      </w:r>
      <w:r w:rsidR="00BC6DF7">
        <w:t>,</w:t>
      </w:r>
    </w:p>
    <w:p w:rsidR="00BC6DF7" w:rsidRDefault="00BC6DF7">
      <w:pPr>
        <w:pStyle w:val="deftxt"/>
        <w:spacing w:line="360" w:lineRule="auto"/>
        <w:ind w:left="450" w:right="150"/>
      </w:pPr>
      <w:r>
        <w:t>вычитая из первого уравнения второе, получим:</w:t>
      </w:r>
    </w:p>
    <w:p w:rsidR="00BC6DF7" w:rsidRDefault="001F7F95">
      <w:pPr>
        <w:pStyle w:val="deftxt"/>
        <w:spacing w:line="360" w:lineRule="auto"/>
        <w:ind w:left="450" w:right="150"/>
      </w:pPr>
      <w:r>
        <w:rPr>
          <w:vertAlign w:val="subscript"/>
        </w:rPr>
        <w:pict>
          <v:shape id="_x0000_i1044" type="#_x0000_t75" alt="" style="width:104.25pt;height:48pt">
            <v:imagedata r:id="rId26" o:title=""/>
          </v:shape>
        </w:pict>
      </w:r>
      <w:r w:rsidR="00BC6DF7">
        <w:t>,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но </w:t>
      </w:r>
      <w:r w:rsidR="001F7F95">
        <w:rPr>
          <w:vertAlign w:val="subscript"/>
        </w:rPr>
        <w:pict>
          <v:shape id="_x0000_i1045" type="#_x0000_t75" alt="" style="width:35.25pt;height:35.25pt">
            <v:imagedata r:id="rId27" o:title=""/>
          </v:shape>
        </w:pict>
      </w:r>
      <w:r>
        <w:t>,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где </w:t>
      </w:r>
      <w:r>
        <w:rPr>
          <w:i/>
          <w:iCs/>
        </w:rPr>
        <w:t>К</w:t>
      </w:r>
      <w:r>
        <w:t xml:space="preserve"> – константа равновесия,</w:t>
      </w:r>
    </w:p>
    <w:p w:rsidR="00BC6DF7" w:rsidRDefault="00BC6DF7">
      <w:pPr>
        <w:pStyle w:val="deftxt"/>
        <w:spacing w:line="360" w:lineRule="auto"/>
        <w:ind w:left="450" w:right="150"/>
      </w:pPr>
      <w:r>
        <w:t>тогда</w:t>
      </w:r>
    </w:p>
    <w:p w:rsidR="00BC6DF7" w:rsidRDefault="001F7F95">
      <w:pPr>
        <w:pStyle w:val="deftxt"/>
        <w:spacing w:line="360" w:lineRule="auto"/>
        <w:ind w:left="450" w:right="150"/>
      </w:pPr>
      <w:r>
        <w:rPr>
          <w:vertAlign w:val="subscript"/>
        </w:rPr>
        <w:pict>
          <v:shape id="_x0000_i1046" type="#_x0000_t75" alt="" style="width:90pt;height:33.75pt">
            <v:imagedata r:id="rId28" o:title=""/>
          </v:shape>
        </w:pict>
      </w:r>
      <w:r w:rsidR="00BC6DF7">
        <w:t>.</w:t>
      </w:r>
    </w:p>
    <w:p w:rsidR="00BC6DF7" w:rsidRDefault="001F7F95">
      <w:pPr>
        <w:pStyle w:val="deftxt"/>
        <w:spacing w:line="360" w:lineRule="auto"/>
        <w:ind w:left="450" w:right="150"/>
      </w:pPr>
      <w:r>
        <w:rPr>
          <w:vertAlign w:val="subscript"/>
        </w:rPr>
        <w:pict>
          <v:shape id="_x0000_i1047" type="#_x0000_t75" alt="" style="width:1in;height:30.75pt">
            <v:imagedata r:id="rId29" o:title=""/>
          </v:shape>
        </w:pict>
      </w:r>
      <w:r w:rsidR="00BC6DF7">
        <w:t>,</w:t>
      </w:r>
    </w:p>
    <w:p w:rsidR="00BC6DF7" w:rsidRDefault="00BC6DF7">
      <w:pPr>
        <w:pStyle w:val="deftxt"/>
        <w:spacing w:line="360" w:lineRule="auto"/>
        <w:ind w:left="450" w:right="150"/>
      </w:pPr>
      <w:r>
        <w:t xml:space="preserve">где </w:t>
      </w:r>
      <w:r>
        <w:rPr>
          <w:i/>
          <w:iCs/>
        </w:rPr>
        <w:t>ΔН</w:t>
      </w:r>
      <w:r>
        <w:t xml:space="preserve"> – тепловой эффект реакции.</w:t>
      </w:r>
    </w:p>
    <w:p w:rsidR="00BC6DF7" w:rsidRDefault="00BC6DF7">
      <w:pPr>
        <w:pStyle w:val="deftxt"/>
        <w:spacing w:line="360" w:lineRule="auto"/>
        <w:ind w:left="450" w:right="150"/>
      </w:pPr>
      <w:r>
        <w:t>Сравнив два последние уравнения, получим:</w:t>
      </w:r>
    </w:p>
    <w:p w:rsidR="00BC6DF7" w:rsidRDefault="001F7F95">
      <w:pPr>
        <w:pStyle w:val="deftxt"/>
        <w:spacing w:line="360" w:lineRule="auto"/>
        <w:ind w:left="450" w:right="150"/>
        <w:jc w:val="right"/>
      </w:pPr>
      <w:r>
        <w:rPr>
          <w:vertAlign w:val="subscript"/>
        </w:rPr>
        <w:pict>
          <v:shape id="_x0000_i1048" type="#_x0000_t75" alt="" style="width:72.75pt;height:20.25pt">
            <v:imagedata r:id="rId30" o:title=""/>
          </v:shape>
        </w:pict>
      </w:r>
      <w:r w:rsidR="00BC6DF7">
        <w:t>.                                           (5.8)</w:t>
      </w:r>
    </w:p>
    <w:p w:rsidR="00BC6DF7" w:rsidRDefault="00BC6DF7">
      <w:pPr>
        <w:pStyle w:val="deftxt"/>
        <w:spacing w:line="360" w:lineRule="auto"/>
        <w:ind w:left="450" w:right="150"/>
      </w:pPr>
      <w:r>
        <w:t>Из уравнения 5.8 следует, что разность между энергиями активации прямой и обратной реакции равна тепловому эффекту.</w:t>
      </w:r>
    </w:p>
    <w:p w:rsidR="00BC6DF7" w:rsidRDefault="00BC6DF7">
      <w:pPr>
        <w:pStyle w:val="6"/>
        <w:spacing w:line="360" w:lineRule="auto"/>
        <w:ind w:left="600" w:right="75"/>
        <w:jc w:val="both"/>
      </w:pPr>
      <w:r>
        <w:t>Контрольные вопросы:</w:t>
      </w:r>
    </w:p>
    <w:p w:rsidR="00BC6DF7" w:rsidRDefault="00BC6DF7">
      <w:pPr>
        <w:numPr>
          <w:ilvl w:val="0"/>
          <w:numId w:val="2"/>
        </w:numPr>
        <w:spacing w:before="100" w:beforeAutospacing="1" w:after="100" w:afterAutospacing="1"/>
        <w:ind w:left="945" w:right="7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Правило Вант–Гоффа. Что такое температурный коэффициент реакции? </w:t>
      </w:r>
    </w:p>
    <w:p w:rsidR="00BC6DF7" w:rsidRDefault="00BC6DF7">
      <w:pPr>
        <w:numPr>
          <w:ilvl w:val="0"/>
          <w:numId w:val="2"/>
        </w:numPr>
        <w:spacing w:before="100" w:beforeAutospacing="1" w:after="100" w:afterAutospacing="1"/>
        <w:ind w:left="945" w:right="7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Изменение энергии активации в ходе экзотермической реакции. </w:t>
      </w:r>
    </w:p>
    <w:p w:rsidR="00BC6DF7" w:rsidRDefault="00BC6DF7">
      <w:pPr>
        <w:numPr>
          <w:ilvl w:val="0"/>
          <w:numId w:val="2"/>
        </w:numPr>
        <w:spacing w:before="100" w:beforeAutospacing="1" w:after="100" w:afterAutospacing="1"/>
        <w:ind w:left="945" w:right="7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Изменение энергии активации в ходе эндотермической реакции. </w:t>
      </w:r>
    </w:p>
    <w:p w:rsidR="00BC6DF7" w:rsidRDefault="00BC6DF7">
      <w:pPr>
        <w:numPr>
          <w:ilvl w:val="0"/>
          <w:numId w:val="2"/>
        </w:numPr>
        <w:spacing w:before="100" w:beforeAutospacing="1" w:after="100" w:afterAutospacing="1"/>
        <w:ind w:left="945" w:right="7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Дать определение энергии активации. Что такое активированный комплекс? </w:t>
      </w:r>
    </w:p>
    <w:p w:rsidR="00BC6DF7" w:rsidRDefault="00BC6DF7">
      <w:pPr>
        <w:numPr>
          <w:ilvl w:val="0"/>
          <w:numId w:val="2"/>
        </w:numPr>
        <w:spacing w:before="100" w:beforeAutospacing="1" w:after="100" w:afterAutospacing="1"/>
        <w:ind w:left="945" w:right="7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Уравнение Аррениуса. Как зависит константа химической реакции от температуры? </w:t>
      </w:r>
    </w:p>
    <w:p w:rsidR="00BC6DF7" w:rsidRDefault="00BC6DF7">
      <w:pPr>
        <w:numPr>
          <w:ilvl w:val="0"/>
          <w:numId w:val="2"/>
        </w:numPr>
        <w:spacing w:before="100" w:beforeAutospacing="1" w:after="100" w:afterAutospacing="1"/>
        <w:ind w:left="945" w:right="7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Вывести уравнения связи энергии активации с тепловым эффектом. </w:t>
      </w:r>
    </w:p>
    <w:p w:rsidR="00BC6DF7" w:rsidRDefault="00BC6DF7">
      <w:bookmarkStart w:id="0" w:name="_GoBack"/>
      <w:bookmarkEnd w:id="0"/>
    </w:p>
    <w:sectPr w:rsidR="00BC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07BA0"/>
    <w:multiLevelType w:val="hybridMultilevel"/>
    <w:tmpl w:val="ECA2C50C"/>
    <w:lvl w:ilvl="0" w:tplc="D3922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D879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48E8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F27D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86DD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1E2C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28D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64FD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22FC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F91C3E"/>
    <w:multiLevelType w:val="hybridMultilevel"/>
    <w:tmpl w:val="3A5059CA"/>
    <w:lvl w:ilvl="0" w:tplc="FC6A2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22CA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82E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D8F0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3406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D425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724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D0AB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20DA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6DF7"/>
    <w:rsid w:val="001F7F95"/>
    <w:rsid w:val="009E287C"/>
    <w:rsid w:val="00BC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0"/>
    <o:shapelayout v:ext="edit">
      <o:idmap v:ext="edit" data="1"/>
    </o:shapelayout>
  </w:shapeDefaults>
  <w:decimalSymbol w:val=","/>
  <w:listSeparator w:val=";"/>
  <w15:chartTrackingRefBased/>
  <w15:docId w15:val="{8CB0F2A9-C3AA-49D1-A13E-1A328D6DE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4">
    <w:name w:val="heading 4"/>
    <w:basedOn w:val="a"/>
    <w:qFormat/>
    <w:pPr>
      <w:spacing w:before="100" w:beforeAutospacing="1" w:after="100" w:afterAutospacing="1"/>
      <w:jc w:val="center"/>
      <w:outlineLvl w:val="3"/>
    </w:pPr>
    <w:rPr>
      <w:rFonts w:ascii="Courier New" w:eastAsia="Arial Unicode MS" w:hAnsi="Courier New" w:cs="Courier New"/>
      <w:b/>
      <w:bCs/>
      <w:color w:val="003333"/>
      <w:sz w:val="27"/>
      <w:szCs w:val="27"/>
    </w:rPr>
  </w:style>
  <w:style w:type="paragraph" w:styleId="5">
    <w:name w:val="heading 5"/>
    <w:basedOn w:val="a"/>
    <w:qFormat/>
    <w:pPr>
      <w:spacing w:before="100" w:beforeAutospacing="1" w:after="100" w:afterAutospacing="1"/>
      <w:jc w:val="center"/>
      <w:outlineLvl w:val="4"/>
    </w:pPr>
    <w:rPr>
      <w:rFonts w:ascii="Arial Unicode MS" w:eastAsia="Arial Unicode MS" w:hAnsi="Arial Unicode MS" w:cs="Arial Unicode MS"/>
      <w:b/>
      <w:bCs/>
      <w:color w:val="000000"/>
      <w:sz w:val="18"/>
      <w:szCs w:val="18"/>
    </w:rPr>
  </w:style>
  <w:style w:type="paragraph" w:styleId="6">
    <w:name w:val="heading 6"/>
    <w:basedOn w:val="a"/>
    <w:qFormat/>
    <w:pPr>
      <w:spacing w:before="100" w:beforeAutospacing="1" w:after="100" w:afterAutospacing="1"/>
      <w:ind w:left="375"/>
      <w:outlineLvl w:val="5"/>
    </w:pPr>
    <w:rPr>
      <w:rFonts w:ascii="Verdana" w:eastAsia="Arial Unicode MS" w:hAnsi="Verdana" w:cs="Arial Unicode MS"/>
      <w:b/>
      <w:bCs/>
      <w:color w:val="00000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txt">
    <w:name w:val="deftxt"/>
    <w:basedOn w:val="a"/>
    <w:pPr>
      <w:spacing w:before="150" w:after="30"/>
      <w:ind w:left="225" w:right="75"/>
      <w:jc w:val="both"/>
    </w:pPr>
    <w:rPr>
      <w:rFonts w:ascii="Verdana" w:eastAsia="Arial Unicode MS" w:hAnsi="Verdana" w:cs="Arial Unicode MS"/>
      <w:color w:val="000000"/>
      <w:sz w:val="18"/>
      <w:szCs w:val="18"/>
    </w:rPr>
  </w:style>
  <w:style w:type="character" w:customStyle="1" w:styleId="deftxt1">
    <w:name w:val="deftxt1"/>
    <w:basedOn w:val="a0"/>
    <w:rPr>
      <w:rFonts w:ascii="Verdana" w:hAnsi="Verdana" w:hint="default"/>
      <w:b w:val="0"/>
      <w:bCs w:val="0"/>
      <w:i w:val="0"/>
      <w:iCs w:val="0"/>
      <w:sz w:val="18"/>
      <w:szCs w:val="18"/>
      <w:bdr w:val="none" w:sz="0" w:space="0" w:color="auto" w:frame="1"/>
    </w:rPr>
  </w:style>
  <w:style w:type="paragraph" w:styleId="a3">
    <w:name w:val="Normal (Web)"/>
    <w:basedOn w:val="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a4">
    <w:name w:val="Hyperlink"/>
    <w:basedOn w:val="a0"/>
    <w:rPr>
      <w:b/>
      <w:bCs/>
      <w:strike w:val="0"/>
      <w:dstrike w:val="0"/>
      <w:color w:val="000099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www.ostu.ru/departm/chemistry/metods/metods1/" TargetMode="External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6.png"/><Relationship Id="rId19" Type="http://schemas.openxmlformats.org/officeDocument/2006/relationships/hyperlink" Target="http://www.ostu.ru/departm/chemistry/metods/metods1/cont.htm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5 ВЛИЯНИЕ ТЕМПЕРАТУРЫ </vt:lpstr>
    </vt:vector>
  </TitlesOfParts>
  <Company>Домашний</Company>
  <LinksUpToDate>false</LinksUpToDate>
  <CharactersWithSpaces>6299</CharactersWithSpaces>
  <SharedDoc>false</SharedDoc>
  <HLinks>
    <vt:vector size="12" baseType="variant">
      <vt:variant>
        <vt:i4>393250</vt:i4>
      </vt:variant>
      <vt:variant>
        <vt:i4>45</vt:i4>
      </vt:variant>
      <vt:variant>
        <vt:i4>0</vt:i4>
      </vt:variant>
      <vt:variant>
        <vt:i4>5</vt:i4>
      </vt:variant>
      <vt:variant>
        <vt:lpwstr>http://www.ostu.ru/departm/chemistry/metods/metods1/</vt:lpwstr>
      </vt:variant>
      <vt:variant>
        <vt:lpwstr>h</vt:lpwstr>
      </vt:variant>
      <vt:variant>
        <vt:i4>1572893</vt:i4>
      </vt:variant>
      <vt:variant>
        <vt:i4>42</vt:i4>
      </vt:variant>
      <vt:variant>
        <vt:i4>0</vt:i4>
      </vt:variant>
      <vt:variant>
        <vt:i4>5</vt:i4>
      </vt:variant>
      <vt:variant>
        <vt:lpwstr>http://www.ostu.ru/departm/chemistry/metods/metods1/cont.htm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 ВЛИЯНИЕ ТЕМПЕРАТУРЫ </dc:title>
  <dc:subject/>
  <dc:creator>Марина</dc:creator>
  <cp:keywords/>
  <dc:description/>
  <cp:lastModifiedBy>admin</cp:lastModifiedBy>
  <cp:revision>2</cp:revision>
  <dcterms:created xsi:type="dcterms:W3CDTF">2014-04-05T20:29:00Z</dcterms:created>
  <dcterms:modified xsi:type="dcterms:W3CDTF">2014-04-05T20:29:00Z</dcterms:modified>
</cp:coreProperties>
</file>