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5D5" w:rsidRDefault="006905D5">
      <w:pPr>
        <w:pStyle w:val="a9"/>
        <w:rPr>
          <w:b/>
          <w:sz w:val="28"/>
        </w:rPr>
      </w:pPr>
    </w:p>
    <w:p w:rsidR="006905D5" w:rsidRDefault="006905D5">
      <w:pPr>
        <w:pStyle w:val="a9"/>
        <w:rPr>
          <w:b/>
          <w:sz w:val="28"/>
        </w:rPr>
      </w:pPr>
      <w:r>
        <w:rPr>
          <w:b/>
          <w:sz w:val="28"/>
        </w:rPr>
        <w:t>министерство высшего образования</w:t>
      </w:r>
    </w:p>
    <w:p w:rsidR="006905D5" w:rsidRDefault="006905D5">
      <w:pPr>
        <w:pStyle w:val="a9"/>
        <w:rPr>
          <w:b/>
          <w:sz w:val="28"/>
        </w:rPr>
      </w:pPr>
      <w:r>
        <w:rPr>
          <w:b/>
          <w:sz w:val="28"/>
        </w:rPr>
        <w:t>Ростовский государственный строительный университет</w:t>
      </w:r>
    </w:p>
    <w:p w:rsidR="006905D5" w:rsidRDefault="006905D5">
      <w:pPr>
        <w:pStyle w:val="a9"/>
        <w:rPr>
          <w:b/>
          <w:sz w:val="28"/>
        </w:rPr>
      </w:pPr>
      <w:r>
        <w:rPr>
          <w:b/>
          <w:sz w:val="28"/>
        </w:rPr>
        <w:t>кафедра маркетинга и логистики</w:t>
      </w: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  <w:sz w:val="40"/>
        </w:rPr>
      </w:pPr>
      <w:r>
        <w:rPr>
          <w:b/>
          <w:sz w:val="40"/>
        </w:rPr>
        <w:t>Отчет</w:t>
      </w:r>
    </w:p>
    <w:p w:rsidR="006905D5" w:rsidRDefault="006905D5">
      <w:pPr>
        <w:pStyle w:val="a9"/>
        <w:rPr>
          <w:b/>
        </w:rPr>
      </w:pPr>
      <w:r>
        <w:rPr>
          <w:b/>
        </w:rPr>
        <w:t>по практике на примере «Юго-Западного Банка»</w:t>
      </w:r>
    </w:p>
    <w:p w:rsidR="006905D5" w:rsidRDefault="006905D5">
      <w:pPr>
        <w:pStyle w:val="a9"/>
        <w:rPr>
          <w:b/>
        </w:rPr>
      </w:pPr>
      <w:r>
        <w:rPr>
          <w:b/>
        </w:rPr>
        <w:t>в отделение УВиНО</w:t>
      </w: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Проверил:  преподаватель Соколова Л. А.</w:t>
      </w:r>
    </w:p>
    <w:p w:rsidR="006905D5" w:rsidRDefault="006905D5">
      <w:pPr>
        <w:pStyle w:val="a9"/>
        <w:jc w:val="left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Выполнила: ст-ка 4 курса гр. МР-405</w:t>
      </w:r>
    </w:p>
    <w:p w:rsidR="006905D5" w:rsidRDefault="006905D5">
      <w:pPr>
        <w:pStyle w:val="a9"/>
        <w:rPr>
          <w:b/>
          <w:sz w:val="28"/>
        </w:rPr>
      </w:pPr>
      <w:r>
        <w:rPr>
          <w:b/>
          <w:sz w:val="28"/>
        </w:rPr>
        <w:t xml:space="preserve">                                                   Блинова Т.Н.</w:t>
      </w: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  <w:r>
        <w:rPr>
          <w:b/>
        </w:rPr>
        <w:t>г. Ростов-на-Дону</w:t>
      </w:r>
    </w:p>
    <w:p w:rsidR="006905D5" w:rsidRDefault="006905D5">
      <w:pPr>
        <w:pStyle w:val="a9"/>
        <w:rPr>
          <w:b/>
        </w:rPr>
      </w:pPr>
      <w:r>
        <w:rPr>
          <w:b/>
        </w:rPr>
        <w:t>2005 г.</w:t>
      </w: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  <w:r>
        <w:rPr>
          <w:b/>
        </w:rPr>
        <w:t>Содержение</w:t>
      </w:r>
    </w:p>
    <w:p w:rsidR="006905D5" w:rsidRDefault="006905D5">
      <w:pPr>
        <w:pStyle w:val="a9"/>
        <w:jc w:val="both"/>
        <w:rPr>
          <w:b/>
        </w:rPr>
      </w:pP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Введение                                                                                                     3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Глава 1. Юго-Западный Банк                                                                    5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1.1 Организационная структура предприятия                                         7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1.2 Обслуживание клиентов                                                                      8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Глава 2. Общие положения УвиНО                                                          11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2.1 Отчетность о произведенных выплатах средств поступивших от распорядителей средств (физическим лицам).                                        13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2.2 Индивидуальное задание. Анализ учета операций по выплате сумм поступивших от распорядителей средств (физическим лицам).           19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2.3 Анализ финансовой устойчивости.                                                     20 стр.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Приложение 1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Приложение 2</w:t>
      </w:r>
    </w:p>
    <w:p w:rsidR="006905D5" w:rsidRDefault="006905D5">
      <w:pPr>
        <w:pStyle w:val="a9"/>
        <w:jc w:val="both"/>
        <w:rPr>
          <w:i w:val="0"/>
          <w:sz w:val="28"/>
        </w:rPr>
      </w:pPr>
      <w:r>
        <w:rPr>
          <w:i w:val="0"/>
          <w:sz w:val="28"/>
        </w:rPr>
        <w:t>Приложение 3</w:t>
      </w:r>
    </w:p>
    <w:p w:rsidR="006905D5" w:rsidRDefault="006905D5">
      <w:pPr>
        <w:pStyle w:val="a9"/>
        <w:jc w:val="both"/>
        <w:rPr>
          <w:b/>
        </w:rPr>
      </w:pPr>
    </w:p>
    <w:p w:rsidR="006905D5" w:rsidRDefault="006905D5">
      <w:pPr>
        <w:pStyle w:val="a9"/>
        <w:jc w:val="both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</w:p>
    <w:p w:rsidR="006905D5" w:rsidRDefault="006905D5">
      <w:pPr>
        <w:pStyle w:val="a9"/>
        <w:rPr>
          <w:b/>
        </w:rPr>
      </w:pPr>
      <w:r>
        <w:rPr>
          <w:b/>
        </w:rPr>
        <w:t>Введение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12 ноября 2004 г. Сбербанку России исполнилось 163 года. Утвержденный в этот день Указом императора Николая 1 первый Устав сберегательных касс положил начало сберегательному делу в России. С этого момента развитие сберегательного дела, прошедшего становление от сберкасс до Сбербанка России, неразрывно связано с историей российского общества и государства.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Стремясь к совершенству в банковском бизнесе, Сбербанк России уделяет особе внимание разработке оптимальных путей развития на основе приоритета интересов клиентов. Свою миссию он видит в предоставлении банковских услуг высокого качества и надежности каждой стратегической группе клиентов банка - частным вкладчикам, корпоративным партнерам и государству – на всей территории России, обеспечивая при этом устойчивое функционирование банковской системы, сбережение вкладов населения и их инвестирование в реальный сектор, содействуя тем самым развитию экономики России. Внедрение мировых стандартов обслуживания, реорганизация филиальной сети в целях оптимизации расходов на ее содержание, - таковы направления развития для наилучшего соответствия клиентским требованиям.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Успешное развитие Банка – наилучшее подтверждение правильности выбранного пути. Балансовая прибыль 2002 г. за первое полугодие в 1.8 раза превысила этот показатель за первое полугодие 2001г. Весомым свидетельством является дальнейшее увеличение доли корпоративных клиентов в структуре баланса – до 24%. Существенный шаг сделан в направлении важнейшей цели Сбербанка России – обеспечении инвестиционного процесса экономики России и повышение его эффективности. За полтора последних года Банк предоставил кредитов экономике на сумму 1 трлн. рублей и 16 млрд. долларов США. Кредитный портфель Банка постоянно увеличивается: 2001 г. кредитный портфель Банка утроился, а за последние полтора года удвоился. Основная часть кредитов предоставляется предприятиям реального сектора экономики, при этом половину от общего объема кредитного портфеля занимают вложения в промышленность. Опираясь на достигнутое, Сбербанк России уверенно продвигается к стратегической цели – качественно новому уровню обслуживания клиентов, при сохранении позиций современного первоклассного конкурентно способного и крупнейшего банка Восточной Европы. 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Сегодня Сбербанк России – это универсальный коммерческий банк, который предлагает своим клиентам широкий спектр качественных банковских услуг.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Юго-Западный банк Сбербанка России обслуживает клиентов на территории Ростовской области, Краснодарского края и Республики Адыгея. Расположенный на юге России в благоприятной для сельскохозяйственного производства климатической зоне, регион является одним из крупнейших агропромышленных центров страны. Наряду с развитым сельским хозяйством, в Ростовской области  и Краснодарском крае сложился мощный индустриальный комплекс, основу которого составляют предприятия топливно-энергетической, машиностроительной, химической промышленности. Собственная сырьевая база позволяет активно развивать в регионе пищевую, легкую и винодельческую промышленность. Общенациональное значение имеют новороссийские цементные заводы.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В  целом на долю региона, занимающего 1,1% территории России, приходится 2,4% промышленного и 9,7% сельскохозяйственного производства страны. В последнее время в регионе наблюдался во всех секторах экономики – в промышленности, сельском хозяйстве, строительстве, торговле, на транспорте и связи, чему в значительной степени способствовала кредитная политика Юго-Западного банка, направленная на инвестиции – как долгосрочные, так и краткосрочные – в реальный сектор экономики.</w:t>
      </w:r>
    </w:p>
    <w:p w:rsidR="006905D5" w:rsidRDefault="006905D5">
      <w:pPr>
        <w:spacing w:line="360" w:lineRule="auto"/>
        <w:jc w:val="center"/>
        <w:rPr>
          <w:b/>
          <w:i/>
          <w:sz w:val="32"/>
        </w:rPr>
      </w:pPr>
    </w:p>
    <w:p w:rsidR="006905D5" w:rsidRDefault="006905D5">
      <w:pPr>
        <w:spacing w:line="360" w:lineRule="auto"/>
        <w:jc w:val="center"/>
        <w:rPr>
          <w:i/>
          <w:sz w:val="32"/>
        </w:rPr>
      </w:pPr>
      <w:r>
        <w:rPr>
          <w:b/>
          <w:i/>
          <w:sz w:val="32"/>
        </w:rPr>
        <w:t>Глава 1. Юго-Западный банк</w:t>
      </w:r>
      <w:r>
        <w:rPr>
          <w:i/>
          <w:sz w:val="32"/>
        </w:rPr>
        <w:t>.</w:t>
      </w: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Юго-Западный банк Сбербанка России является крупнейшим кредитным учреждением региона, чьи активы превышают совокупные активы всех остальных коммерческих банков региона. Удельный вес привлеченных банком средств физических лиц составляет 88,5%, доля на рынке юридических лиц – 46,7%, по существу это единственный банк, способный обеспечить потребность в ресурсах крупных промышленных и  сельскохозяйственных предприятий.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Наиболее показательна работа Юго-Западного банка в области кредитования сельского хозяйства. Юго-Западный банк стал основным инвестором данного сектора экономики, определив для себя это направление в качестве стратегического. При этом работа банка качественно отличается  от деятельности других коммерческих банков, которые в основном осуществляют распределение бюджетных средств либо кредитуют отдельные финансово-устойчивые и перспективные сельхозпредприятия. Специально для кредитования сельхозпроизводителей банком были разработаны и успешно применены схемы кредитования, учитывающий сезонный характер производства и позволяющий снизить ставки по кредитам до приемлемых величин. Конкретные виды кредитных продуктов и схем разрабатывались для каждого предприятия индивидуально, в зависимости от финансового положения, наличия обеспечения и перспектив развития. По инициативе и при непосредственном участии Юго-Западного банка разработано и принято постановление главы Администрации Ростовской области «О возмещении разницы процентных ставок по кредитам, привлеченным сельхозтоваропроизводителями, предприятиями и организациями АПК в 2001 г.» Юго-Западный банк активно участвует в реализации постановления главы Администрации Ростовской области «О порядке обеспечения сельхозтоваропроизводителей области сельскохозяйственной техникой в 2001 г.»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Особое внимание Юго-Западным банком уделяется укреплению и расширению стратегического партнерства с крупнейшими промышленными предприятиями региона, участию в развитии системообразующих отраслей экономики.  Клиентами банка являются предприятия авиационной промышленности – ОАО «Роствертол», ОАО «Таганрогская авиация»; топливно-энергетической – ОАО «ЭМК-Атоммаш», Краснодарнефтьгаз; металлургической промышленности – ОАО «Тагмет», ОАО «Сулинский металлургический завод»; связи ОАО «Кубань-элекросвязь», ОАО «Кубань</w:t>
      </w:r>
      <w:r>
        <w:rPr>
          <w:sz w:val="28"/>
          <w:lang w:val="en-US"/>
        </w:rPr>
        <w:t>GSM</w:t>
      </w:r>
      <w:r>
        <w:rPr>
          <w:sz w:val="28"/>
        </w:rPr>
        <w:t>»,; машиностроение – Новороссийский судоремонтный завод; а также агропромышленного комплекса – холдинг «Юг Руси», ОАО «Донхлебпродукт»; легкой промышленности – ЗАО «Корпорация «Глория Джинс», ОАО «Донтекс».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Доля банка на кредитном рынке региона достигла 35% в общем объеме кредитов юридическим лицам и 67% - в объеме кредитов населению.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Разветвленная филиальная сеть Юго-Западного банка позволяет осуществлять гибкое управление финансами – консолидацию ресурсов для выполнения централизованных крупномасштабных проектов, а также децентрализацию и перераспределение ресурсов для финансирования проектов, имеющих значимость в масштабах отдельно взятых городов и районов.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В настоящие время Юго-Западный банк располагает финансовыми и экономическими возможностями, позволяющими рассматривать его в качестве стратегического партнера для реализации практически любых экономических и хозяйственных проектов – как текущих, так и в долгосрочной перспективе. </w:t>
      </w: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jc w:val="center"/>
        <w:rPr>
          <w:sz w:val="32"/>
        </w:rPr>
      </w:pPr>
    </w:p>
    <w:p w:rsidR="006905D5" w:rsidRDefault="006905D5">
      <w:pPr>
        <w:spacing w:line="360" w:lineRule="auto"/>
        <w:jc w:val="center"/>
        <w:rPr>
          <w:b/>
          <w:sz w:val="32"/>
        </w:rPr>
      </w:pPr>
    </w:p>
    <w:p w:rsidR="006905D5" w:rsidRDefault="006905D5">
      <w:pPr>
        <w:spacing w:line="360" w:lineRule="auto"/>
        <w:jc w:val="center"/>
        <w:rPr>
          <w:b/>
          <w:i/>
          <w:sz w:val="32"/>
        </w:rPr>
      </w:pPr>
      <w:r>
        <w:rPr>
          <w:b/>
          <w:i/>
          <w:sz w:val="32"/>
        </w:rPr>
        <w:t>1.1 Организационная структура и система управления.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Деятельность Сбербанка регулируется законодательством РФ и осуществляет в соответствии  с Федеральными законами «О банках и банковской деятельности».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Высшим органом управления Сбербанка является общее собрание акционеров, которое утверждает Устав Банка, избирает Наблюдательный Совет, принимает другие принципиальные решения.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Контрольный пакет акций Сбербанка принадлежит Банку России, а общее количество акционеров физических и юридических лиц, резидентов и нерезидентов превышает 233 тысячи.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Наблюдательный Совет осуществляет общее руководство деятельностью Сбербанка, определяет стратегические приоритеты его развития и формирует Правление, которому делегированы полномочия по текущему управлению.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В целях наилучшего соответствия потребностям своих клиентов Банк постоянно совершенствует филиальную сеть. Внедряются мировые стандарты обслуживания, производится реорганизация филиалов, создаются передвижные операционные кассы. Оптимизация сети филиалов и агентств проводится с учетом экономических и социальных факторов конкретного региона, включая оценку показателей плотности и численности населения, потребности клиентов в получении отдельных банковских продуктов и услуг.  Только в 2000 г. было открыто 200 филиалов, как оказывающих стандартный набор услуг, так и специализирующихся на развитии отдельных направлений бизнеса или на индивидуальном обслуживании клиентов.</w:t>
      </w: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rPr>
          <w:sz w:val="32"/>
        </w:rPr>
      </w:pPr>
    </w:p>
    <w:p w:rsidR="006905D5" w:rsidRDefault="006905D5">
      <w:pPr>
        <w:spacing w:line="360" w:lineRule="auto"/>
        <w:rPr>
          <w:sz w:val="32"/>
        </w:rPr>
      </w:pPr>
    </w:p>
    <w:p w:rsidR="006905D5" w:rsidRDefault="006905D5">
      <w:pPr>
        <w:spacing w:line="360" w:lineRule="auto"/>
        <w:rPr>
          <w:sz w:val="32"/>
        </w:rPr>
      </w:pPr>
    </w:p>
    <w:p w:rsidR="006905D5" w:rsidRDefault="006905D5">
      <w:pPr>
        <w:spacing w:line="360" w:lineRule="auto"/>
        <w:rPr>
          <w:sz w:val="32"/>
        </w:rPr>
      </w:pPr>
      <w:r>
        <w:rPr>
          <w:sz w:val="32"/>
        </w:rPr>
        <w:t xml:space="preserve">                              </w:t>
      </w:r>
    </w:p>
    <w:p w:rsidR="006905D5" w:rsidRDefault="006905D5">
      <w:pPr>
        <w:pStyle w:val="30"/>
        <w:spacing w:line="360" w:lineRule="auto"/>
      </w:pPr>
      <w:r>
        <w:t>1.2 Обслуживание клиентов.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На протяжении всей истории обслуживание физических лиц являлось главным направлением работы Сбербанка. Приоритет сохраняется и по сей день, однако устойчивые позиции Банка на розничном рынке обеспечены не только разветвленной филиальной сетью, традициями работы и безупречной деловой репутацией, но и высоким качеством обслуживания населения, широким спектром банковских услуг для этой группы клиентов. Сегодня частные клиенты Сбербанка могут не только разместить деньги во вклады, но и воспользоваться кредитными продуктами Банка, перевести деньги в любой регион России и за ее пределы, воспользоваться банковскими картами, совершать операции с ценными бумагами на всех ведущих торговых площадках России.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Ежемесячный прирост объемов денежных средств населения во вклады составляют в среднем 10 млрд. руб., темп прироста (с учетом инфляции) – 22% в год. При этом население приносит в Банк и «матрацные»  деньги, о чем наглядно свидетельствует динамика вкладов в иностранной валюте. В последние годы  темпы роста вкладов в иностранной валюте опережают темпы роста рублевых вкладов. С учетом благоприятных макроэкономических условий Банк активно продвигает на рынок долгосрочные инструменты сбережения денежных средств населения. Вкладчики активно используют долгосрочные вклады в рублях: «Накопительный» сроком на 2 года, «Пенсионный-плюс», «Срочный пенсионный». Впечатляющие результаты свидетельствуют о правильности принятых решений – в настоящее время каждый третий рубль вкладчики размещают в долгосрочные вклады.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Осознавая свою социальную миссию, Сбербанк сохраняет приоритетные ценовые условия для граждан пенсионного возраста. Свидетельством поддержки вкладчиками ценовой политики Банка является постоянный рост остатков средств по пенсионным счетам, составляющий до 40% от величины общего прилива средств во вклады.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Банк активно содействует развитию сбережений и инвестиций экономически активного населения страны и молодежи, поскольку это способствует повышению экономической культуры общества и позволяет создать долгосрочные отношения клиента с Банком. Клиентам Сбербанка предлагается множество кредитных продуктов с учетом потребностей  различных возрастных и социальных групп населения: на неотложные нужды, приобретение дорогостоящих товаров, включая автомобили, на приобретение объектов недвижимости. Специально для молодежи разработан «Образовательный кредит», с помощью которого абитуриент может оплатить обучение, как в вузах, так и в средних специальных учебных заведениях страны. Банк предоставляет кредиты на различные цели работникам финансово-устойчивых предприятий и организаций под корпоративные гарантии.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Основным направлением работы в сфере оказания банковских услуг населению остается обслуживание безналичных денежных потоков. На сегодняшний день  около 60% средств поступают во вклады безналичным образом, что позволяет существенным образом ускорить обслуживание населения. Через Банк получают пенсию свыше 10 млн. пенсионеров. Около 50 тыс. предприятий и организаций перечисляют заработную плату сотрудникам на счета в Сбербанке России, на текущий момент заработную плату через Сбербанк получает каждый десятый, занятый в экономике страны. Растут объёмы выплат через Банк стипендий, гонораров, различного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>рода соц. Пособий, страховых сумм и дивидендов.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>Банк динамично развивает валютно-обменные услуги. Заметно повысилась конкурентоспособность устанавливаемых Банком курсов покупки-продажи иностранной валюты по сравнению с коммерческими банками. Доля Сбербанка на рынке по операциям продажи наличной валюты выросла до 23%. Ежегодно филиалы Банка продают более 2 млрд. иностранной валюты, и эта цифра постоянно увеличивается. Растет популярность у клиентов операций с дорожными чеками. При этом постоянно увеличиваются как объемы продажи дорожных чеков, так и объем операций по приему чеков на инкассо.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 Расширение клиентской базы и повышение качества обслуживания клиентов являются важнейшим приоритетом Концепции развития Банка за период до 2005 г. В последние годы Банк зарекомендовал себя как надежный партнер для клиентов, работающих во всех отраслях промышленности.  С каждым клиентом Сбербанк России стремится к установлению долгосрочных партнерских отношений. С этой целью Банк прогнозирует развитие потребностей клиентов, появление новых направлений банковского бизнеса, проводит маркетинговые исследования, разрабатывает и предлагает полный спектр банковских продуктов и услуг.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Сочетание комплексного подхода к продаже высококачественных банковских продуктов и индивидуальной работы с каждым клиентом на основе конкурентоспособных тарифов позволяет Сбербанку не только закрепить на обслуживании пришедших в после кризисный период клиентов – юридических лиц, но и привлекать новых.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ЮЗБ СБ РФ предлагает воспользоваться новой услугой «Прием денежных знаков иностранных государств (группы государств), вызывающих сомнение в их подлинности, для проверки их подлинности». 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Специалист банка под личным наблюдением клиента проводит проверку подлинности банкнот с использованием современного банковского оборудования. Сумма и номинал купюр, подлежащих проверке, не ограничены.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Воспользоваться данной услугой может любое физическое лицо (резидент и нерезидент), как уже имеющее на руках наличную иностранную валюту, так и планирующее ее приобретение в результате сделок по продаже недвижимости, автотранспорта и т. д.</w:t>
      </w: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tabs>
          <w:tab w:val="center" w:pos="4677"/>
          <w:tab w:val="left" w:pos="7332"/>
        </w:tabs>
        <w:spacing w:line="360" w:lineRule="auto"/>
        <w:rPr>
          <w:b/>
          <w:i/>
          <w:sz w:val="32"/>
        </w:rPr>
      </w:pPr>
      <w:r>
        <w:rPr>
          <w:sz w:val="32"/>
        </w:rPr>
        <w:tab/>
      </w:r>
      <w:r>
        <w:rPr>
          <w:b/>
          <w:i/>
          <w:sz w:val="32"/>
        </w:rPr>
        <w:t>Глава 2. Общие положения УВиНО.</w:t>
      </w:r>
      <w:r>
        <w:rPr>
          <w:b/>
          <w:i/>
          <w:sz w:val="32"/>
        </w:rPr>
        <w:tab/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32"/>
        </w:rPr>
      </w:pP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Настоящий документ регулирует порядок взаимодействия подразделений центрального аппарата и филиалов Сбербанка, а также осуществление последними операций по выплате сумм, поступивших в пользу физических лиц (резидентов и нерезидентов), при реализации банком функций платежного агента в соответствии с Договорами, заключенными с некоммерческими организациями.</w:t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В соответствии с условиями Договоров выделенные некоммерческими организациями суммы имеют исключительно целевой характер и не могут быть использованы структурными подразделениями Сбербанка для каких-либо иных банковских операций, кроме выплаты обозначенным физическим лицам.</w:t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Выплаты по указанным Договорам осуществляются этапами в рамках отдельных программ в иностранной валюте или в валюте РФ.</w:t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При заключении Сбербанком Договора о назначении платежного агента с каждой новой некоммерческой организацией Управление валютных и неторговых операций Сбербанка доводится до территориальных банков и отделений Сбербанков г. Москвы указание об особенностях выплат сумм по вновь заключенному Договору.</w:t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При реализации Сбербанком функций платежного агента в рамках Заключенных Договоров о назначении платежного агента подразделения центрального аппарата и филиалы Сбербанка осуществляют расчеты по системе меж филиальных расчетов.</w:t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   За выполнение функций платежного агента некоммерческие организации в соответствии с условиями заключенных Договоров выплачиваю Сбербанку вознаграждение, включающее сумму налога на добавленную стоимость. Порядок уплаты вознаграждения некоммерческими организациями определяется  условиями заключенных Договоров и может быть следующим: перечисляется одновременно с суммой подлежащей выплате, перечисляется после окончания выплат, либо поступает двумя частями, одна из которых перечисляется одновременно с суммой подлежащей выплате, вторая перечисляется после окончания выплат. При этом в Договорах может оговариваться дата, которая принимается за дату оказания Сбербанком услуг по выплате соответствующих сумм.</w:t>
      </w:r>
    </w:p>
    <w:p w:rsidR="006905D5" w:rsidRDefault="006905D5">
      <w:pPr>
        <w:tabs>
          <w:tab w:val="center" w:pos="4677"/>
          <w:tab w:val="left" w:pos="7332"/>
        </w:tabs>
        <w:spacing w:line="360" w:lineRule="auto"/>
        <w:jc w:val="both"/>
        <w:rPr>
          <w:sz w:val="28"/>
        </w:rPr>
      </w:pPr>
      <w:r>
        <w:rPr>
          <w:b/>
          <w:sz w:val="28"/>
        </w:rPr>
        <w:t>Действующие Договора в настоящее время:</w:t>
      </w:r>
    </w:p>
    <w:p w:rsidR="006905D5" w:rsidRDefault="006905D5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Договор о назначении платежного агента между фондом поддержки научных исследований и издания научной литературы в области химии и Сбербанком России от 27.02.1998г. №150/98/УД;</w:t>
      </w:r>
    </w:p>
    <w:p w:rsidR="006905D5" w:rsidRDefault="006905D5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Договор о назначении платежного агента  между «Нью-йорским Институтом Здравоохранения» и Сбербанком России от 10.01.1999г. №24/99/УД;</w:t>
      </w:r>
    </w:p>
    <w:p w:rsidR="006905D5" w:rsidRDefault="006905D5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Договор о назначении платежного агента  между институтом «Открытое общество. Фонд содействия» и Сбербанком России от 13.10.2000г. №900/2000/УД;</w:t>
      </w:r>
    </w:p>
    <w:p w:rsidR="006905D5" w:rsidRDefault="006905D5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Договор о назначении платежного агента между Федеральным государственным учреждением «Фонд взаимопонимания и примирения» и Сбербанком России от 08.02.2002г. №198/2002/УД;</w:t>
      </w:r>
    </w:p>
    <w:p w:rsidR="006905D5" w:rsidRDefault="006905D5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Договор о назначении платежного агента между «Американским фондом Гражданских Исследований и Развития для Независимых Государств Бывшего Советского Союза» и Сбербанком России от 27.01.2003г. №95/2003/УД;</w:t>
      </w:r>
    </w:p>
    <w:p w:rsidR="006905D5" w:rsidRDefault="006905D5">
      <w:pPr>
        <w:numPr>
          <w:ilvl w:val="0"/>
          <w:numId w:val="1"/>
        </w:numPr>
        <w:spacing w:line="480" w:lineRule="auto"/>
        <w:jc w:val="both"/>
        <w:rPr>
          <w:sz w:val="28"/>
        </w:rPr>
      </w:pPr>
      <w:r>
        <w:rPr>
          <w:sz w:val="28"/>
        </w:rPr>
        <w:t>Договор о назначении платежного агента между Федеральным государственным учреждением «Фонд взаимопонимания и примирения» и Сбербанком России от 08.02.2002г. №199/2002/УД.</w:t>
      </w:r>
    </w:p>
    <w:p w:rsidR="006905D5" w:rsidRDefault="006905D5">
      <w:pPr>
        <w:spacing w:line="480" w:lineRule="auto"/>
        <w:jc w:val="both"/>
        <w:rPr>
          <w:sz w:val="28"/>
        </w:rPr>
      </w:pPr>
    </w:p>
    <w:p w:rsidR="006905D5" w:rsidRDefault="006905D5">
      <w:pPr>
        <w:spacing w:line="480" w:lineRule="auto"/>
        <w:jc w:val="both"/>
        <w:rPr>
          <w:sz w:val="28"/>
        </w:rPr>
      </w:pPr>
    </w:p>
    <w:p w:rsidR="006905D5" w:rsidRDefault="006905D5">
      <w:pPr>
        <w:pStyle w:val="30"/>
      </w:pPr>
      <w:r>
        <w:t>2.1 Отчетность о произведенных выплатах сумм, поступивших от распорядителей средств (физическим лицам).</w:t>
      </w:r>
    </w:p>
    <w:p w:rsidR="006905D5" w:rsidRDefault="006905D5">
      <w:pPr>
        <w:spacing w:line="480" w:lineRule="auto"/>
        <w:jc w:val="both"/>
        <w:rPr>
          <w:sz w:val="28"/>
        </w:rPr>
      </w:pPr>
      <w:r>
        <w:rPr>
          <w:sz w:val="32"/>
        </w:rPr>
        <w:t xml:space="preserve">   </w:t>
      </w:r>
      <w:r>
        <w:rPr>
          <w:sz w:val="28"/>
        </w:rPr>
        <w:t>Филиалы Сбербанка осуществляющие выплаты сумм «грантов», отчитываются о произведенных выплатах.</w:t>
      </w:r>
    </w:p>
    <w:p w:rsidR="006905D5" w:rsidRDefault="006905D5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По мере поступления от структурных подразделений, осуществляющих выплаты «грантов», «Отрывных талонов» от «Извещений получателей» в филиалы Сбербанка, уполномоченные лица заносят дату выплаты средств о произведенных выплатах, формируемый средствами АС «Статотчетности». В момент занесения даты проверяется полнота и правильность заполнения «Отрывного талона», наличие всех необходимых документов.</w:t>
      </w:r>
    </w:p>
    <w:p w:rsidR="006905D5" w:rsidRDefault="006905D5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По усмотрению территориального Банка информация о дате выплаты средств в отчет о произведенных выплатах формируемый средствами АС «Статотчетности» может вноситься структурными подразделениями территориального Банка, которым делегированы такие права.</w:t>
      </w:r>
    </w:p>
    <w:p w:rsidR="006905D5" w:rsidRDefault="006905D5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В территориальном Банке данные, полученные из «Отрывных талонов» от «Извещений получателей», или из Отчетов о произведенных выплатах и невостребованных суммах, используются для составления Отчета о произведенных выплатах  этапа по АС «Статотчетности». Уполномоченное лицо сверяет сформированный консолидированный Отчет с данными, полученными от бухгалтерии территориального Банка (копии бухгалтерских документов о первоначально поступившей сумме; о суммах перечисленных в порядке перевода из других структкрных подразделений, либо возвращенных на счет МФР УБУиО в ГРЦ с целью перевода в другие структурные подразделения; о возвратах невостребованных получателями сумм). В случае выявления ошибок, несоответствий и т. д. уполномоченное лицо выясняет причины и принимает меры по их устранению.</w:t>
      </w:r>
    </w:p>
    <w:p w:rsidR="006905D5" w:rsidRDefault="006905D5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После возврата не востребованных сумм «грантов» на счет МФР УБУиО в ГРЦ уполномоченное лицо филиала Сбербанка заносит в Отчет дату возврата невостребованных сумм по каждому получателю в отдельности.</w:t>
      </w:r>
    </w:p>
    <w:p w:rsidR="006905D5" w:rsidRDefault="006905D5">
      <w:pPr>
        <w:spacing w:line="480" w:lineRule="auto"/>
        <w:jc w:val="both"/>
        <w:rPr>
          <w:sz w:val="28"/>
        </w:rPr>
      </w:pPr>
      <w:r>
        <w:rPr>
          <w:b/>
          <w:sz w:val="28"/>
        </w:rPr>
        <w:t>Порядок формирования Отчета о произведенных выплатах «грантов» следующий: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Дата зачисления средств на счета по вкладам получателей в отчете о произведенных выплатах по форме, приведенной в АС «Статотчетность», проставляется филиалами Сбербанка на основании сведений, полученных от структурных подразделений, осуществляющих зачисление средств на счета по вкладам получателей.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После возврата невостребованных сумм «грантов» на счет МФР УБУиО в ГРЦ уполномоченное лицо филиала Сбербанка заносит в отчет дату возврата невостребованных сумм.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После даты официального прекращения выплат, но не позднее, чем на второй рабочий день, структурные подразделения территориальных банков представляют Отчеты о произведенных выплатах и невостребованных суммах в соответствующий территориальный банк.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Консолидированные Отчеты о произведенных выплатах и невостребованных суммах филиалов Сбербанка по каждому завершенному этапу не позднее, чем на четвертый рабочий день с даты официального прекращения выплат направляются в ЦА СБ РФ с использованием программных средств АС «Статотчетность». Экспортированный файл подписывается уполномоченным должностным лицом и отправляется по СПОД «ТЕКОС-СБ».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Консолидированные Отчеты филиалов Сбербанка о произведенных выплатах сумм, поступивших от распорядителей средств без открытия счетов по вкладам, на бумажных носителях  одновременно с неотправленными ранее остатками «Отрывных талонов» от «Извещений получателей» с приложением Доверенностей и других необходимых документов при сопроводительных письмах не позднее, чем на шестой рабочий день с даты официального прекращения выплат (если дополнительно не установлен срок), направляются в УВиНО. Копии указанных отчетов остаются в подразделениях территориальных банков и отделений Сбербанка г. Москвы, ответственных за организацию выплат «грантов».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Консолидированные Отчеты Сбербанка о произведенных выплатах Сум, поступивших от распорядителей средств на счета по вкладам получателей, на бумажных носителях не позднее чем, на шестой рабочий день с даты официального прекращения  выплат, направляются в УВиНО. Копии указанных отчетов остаются в филиале Сбербанка.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УВиНО производит соответствующую выверку отчетов, представленных филиалами, и формирует общие отчеты о произведенных выплатах и невостребованных суммах по завершенному этапу, который не позднее 26 рабочих дней направляется распорядителю средств.</w:t>
      </w:r>
    </w:p>
    <w:p w:rsidR="006905D5" w:rsidRDefault="006905D5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Филиалы СБ РФ формируют списки структурных подразделений, привлеченных к совершению операций по выплате «грантов», поступающих от распорядителей средств, без открытия текущих валютных счетов. Указанные списки корректируются еженедельно путем внесения соответствующих изменений в АС «Статотчетность».</w:t>
      </w: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spacing w:line="360" w:lineRule="auto"/>
        <w:jc w:val="center"/>
        <w:rPr>
          <w:b/>
          <w:i/>
          <w:sz w:val="32"/>
        </w:rPr>
      </w:pPr>
      <w:r>
        <w:rPr>
          <w:b/>
          <w:i/>
          <w:sz w:val="32"/>
        </w:rPr>
        <w:t>2.2 Индивидуальное задание</w:t>
      </w:r>
    </w:p>
    <w:p w:rsidR="006905D5" w:rsidRDefault="006905D5">
      <w:pPr>
        <w:pStyle w:val="20"/>
        <w:rPr>
          <w:i/>
        </w:rPr>
      </w:pPr>
      <w:r>
        <w:rPr>
          <w:i/>
        </w:rPr>
        <w:t>«Анализ учета операций по выплате сумм, поступивших от распорядителей средств (физическим лицам)».</w:t>
      </w:r>
    </w:p>
    <w:p w:rsidR="006905D5" w:rsidRDefault="006905D5">
      <w:pPr>
        <w:jc w:val="both"/>
        <w:rPr>
          <w:sz w:val="28"/>
        </w:rPr>
      </w:pP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Суммы, поступившие от распорядителей средств для выплаты без открытия текущих валютных счетов (счетов по вкладам в валюте РФ), их учет ведется следующим образом.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Таблица 1. </w:t>
      </w:r>
    </w:p>
    <w:p w:rsidR="006905D5" w:rsidRDefault="006905D5">
      <w:pPr>
        <w:jc w:val="both"/>
        <w:rPr>
          <w:sz w:val="28"/>
        </w:rPr>
      </w:pPr>
      <w:r>
        <w:rPr>
          <w:sz w:val="28"/>
        </w:rPr>
        <w:t xml:space="preserve"> 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130"/>
        <w:gridCol w:w="2130"/>
        <w:gridCol w:w="2130"/>
      </w:tblGrid>
      <w:tr w:rsidR="006905D5">
        <w:tc>
          <w:tcPr>
            <w:tcW w:w="2130" w:type="dxa"/>
          </w:tcPr>
          <w:p w:rsidR="006905D5" w:rsidRDefault="006905D5">
            <w:pPr>
              <w:pStyle w:val="1"/>
              <w:jc w:val="center"/>
              <w:rPr>
                <w:sz w:val="24"/>
              </w:rPr>
            </w:pPr>
            <w:r>
              <w:rPr>
                <w:sz w:val="24"/>
              </w:rPr>
              <w:t>Операция</w:t>
            </w:r>
          </w:p>
        </w:tc>
        <w:tc>
          <w:tcPr>
            <w:tcW w:w="2130" w:type="dxa"/>
          </w:tcPr>
          <w:p w:rsidR="006905D5" w:rsidRDefault="006905D5">
            <w:pPr>
              <w:pStyle w:val="1"/>
              <w:jc w:val="center"/>
              <w:rPr>
                <w:sz w:val="24"/>
              </w:rPr>
            </w:pPr>
            <w:r>
              <w:rPr>
                <w:sz w:val="24"/>
              </w:rPr>
              <w:t>Филиал</w:t>
            </w:r>
          </w:p>
        </w:tc>
        <w:tc>
          <w:tcPr>
            <w:tcW w:w="2130" w:type="dxa"/>
          </w:tcPr>
          <w:p w:rsidR="006905D5" w:rsidRDefault="006905D5">
            <w:pPr>
              <w:pStyle w:val="1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УБУиО</w:t>
            </w:r>
          </w:p>
        </w:tc>
        <w:tc>
          <w:tcPr>
            <w:tcW w:w="2130" w:type="dxa"/>
          </w:tcPr>
          <w:p w:rsidR="006905D5" w:rsidRDefault="006905D5">
            <w:pPr>
              <w:pStyle w:val="2"/>
              <w:rPr>
                <w:sz w:val="24"/>
              </w:rPr>
            </w:pPr>
            <w:r>
              <w:rPr>
                <w:sz w:val="24"/>
              </w:rPr>
              <w:t>ГРЦ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1. Поступление средств, предназначенных для выплаты «грантов»</w:t>
            </w:r>
          </w:p>
        </w:tc>
        <w:tc>
          <w:tcPr>
            <w:tcW w:w="2130" w:type="dxa"/>
          </w:tcPr>
          <w:p w:rsidR="006905D5" w:rsidRDefault="006905D5"/>
        </w:tc>
        <w:tc>
          <w:tcPr>
            <w:tcW w:w="2130" w:type="dxa"/>
          </w:tcPr>
          <w:p w:rsidR="006905D5" w:rsidRDefault="006905D5">
            <w:r>
              <w:t>Дт30302.01</w:t>
            </w:r>
          </w:p>
          <w:p w:rsidR="006905D5" w:rsidRDefault="006905D5">
            <w:r>
              <w:t>Кт40905,</w:t>
            </w:r>
          </w:p>
          <w:p w:rsidR="006905D5" w:rsidRDefault="006905D5">
            <w:r>
              <w:t xml:space="preserve">    40909.03,</w:t>
            </w:r>
          </w:p>
          <w:p w:rsidR="006905D5" w:rsidRDefault="006905D5">
            <w:r>
              <w:t xml:space="preserve">    40910.03</w:t>
            </w:r>
          </w:p>
        </w:tc>
        <w:tc>
          <w:tcPr>
            <w:tcW w:w="2130" w:type="dxa"/>
          </w:tcPr>
          <w:p w:rsidR="006905D5" w:rsidRDefault="006905D5">
            <w:r>
              <w:t>Дт 301</w:t>
            </w:r>
          </w:p>
          <w:p w:rsidR="006905D5" w:rsidRDefault="006905D5">
            <w:pPr>
              <w:pStyle w:val="3"/>
              <w:rPr>
                <w:sz w:val="20"/>
              </w:rPr>
            </w:pPr>
            <w:r>
              <w:rPr>
                <w:sz w:val="20"/>
              </w:rPr>
              <w:t xml:space="preserve">Кт 30301.01 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2. Перечисление средств в структурные подразделения Сбербанка России</w:t>
            </w:r>
          </w:p>
        </w:tc>
        <w:tc>
          <w:tcPr>
            <w:tcW w:w="2130" w:type="dxa"/>
          </w:tcPr>
          <w:p w:rsidR="006905D5" w:rsidRDefault="006905D5">
            <w:r>
              <w:t>Дт 30302.06</w:t>
            </w:r>
          </w:p>
          <w:p w:rsidR="006905D5" w:rsidRDefault="006905D5">
            <w:r>
              <w:t>Кт 40905,</w:t>
            </w:r>
          </w:p>
          <w:p w:rsidR="006905D5" w:rsidRDefault="006905D5">
            <w:r>
              <w:t xml:space="preserve">     40909.03</w:t>
            </w:r>
          </w:p>
          <w:p w:rsidR="006905D5" w:rsidRDefault="006905D5">
            <w:r>
              <w:t xml:space="preserve">     40910.03</w:t>
            </w:r>
          </w:p>
        </w:tc>
        <w:tc>
          <w:tcPr>
            <w:tcW w:w="2130" w:type="dxa"/>
          </w:tcPr>
          <w:p w:rsidR="006905D5" w:rsidRDefault="006905D5">
            <w:r>
              <w:t>Дт 40905,</w:t>
            </w:r>
          </w:p>
          <w:p w:rsidR="006905D5" w:rsidRDefault="006905D5">
            <w:r>
              <w:t xml:space="preserve">      40909.03,</w:t>
            </w:r>
          </w:p>
          <w:p w:rsidR="006905D5" w:rsidRDefault="006905D5">
            <w:r>
              <w:t xml:space="preserve">      40910.03,</w:t>
            </w:r>
          </w:p>
          <w:p w:rsidR="006905D5" w:rsidRDefault="006905D5">
            <w:r>
              <w:t>Кт  30301.01</w:t>
            </w:r>
          </w:p>
        </w:tc>
        <w:tc>
          <w:tcPr>
            <w:tcW w:w="2130" w:type="dxa"/>
          </w:tcPr>
          <w:p w:rsidR="006905D5" w:rsidRDefault="006905D5">
            <w:r>
              <w:t>Дт 30302.01</w:t>
            </w:r>
          </w:p>
          <w:p w:rsidR="006905D5" w:rsidRDefault="006905D5">
            <w:r>
              <w:t>Кт 30301.06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3. Выплата сумм «грантов» наличными деньгами в валюте поступления в валюте отличной от силы поступления</w:t>
            </w:r>
          </w:p>
        </w:tc>
        <w:tc>
          <w:tcPr>
            <w:tcW w:w="2130" w:type="dxa"/>
          </w:tcPr>
          <w:p w:rsidR="006905D5" w:rsidRDefault="006905D5">
            <w:r>
              <w:t>Дт  40905,</w:t>
            </w:r>
          </w:p>
          <w:p w:rsidR="006905D5" w:rsidRDefault="006905D5">
            <w:r>
              <w:t xml:space="preserve">      40909.03,</w:t>
            </w:r>
          </w:p>
          <w:p w:rsidR="006905D5" w:rsidRDefault="006905D5">
            <w:r>
              <w:t xml:space="preserve">      40910.03</w:t>
            </w:r>
          </w:p>
          <w:p w:rsidR="006905D5" w:rsidRDefault="006905D5">
            <w:r>
              <w:t>Кт 20202.01,</w:t>
            </w:r>
          </w:p>
          <w:p w:rsidR="006905D5" w:rsidRDefault="006905D5">
            <w:r>
              <w:t xml:space="preserve">      20207.01</w:t>
            </w:r>
          </w:p>
          <w:p w:rsidR="006905D5" w:rsidRDefault="006905D5">
            <w:r>
              <w:t>Кт  70103</w:t>
            </w:r>
          </w:p>
        </w:tc>
        <w:tc>
          <w:tcPr>
            <w:tcW w:w="2130" w:type="dxa"/>
          </w:tcPr>
          <w:p w:rsidR="006905D5" w:rsidRDefault="006905D5"/>
        </w:tc>
        <w:tc>
          <w:tcPr>
            <w:tcW w:w="2130" w:type="dxa"/>
          </w:tcPr>
          <w:p w:rsidR="006905D5" w:rsidRDefault="006905D5"/>
        </w:tc>
      </w:tr>
      <w:tr w:rsidR="006905D5">
        <w:tc>
          <w:tcPr>
            <w:tcW w:w="2130" w:type="dxa"/>
          </w:tcPr>
          <w:p w:rsidR="006905D5" w:rsidRDefault="006905D5">
            <w:r>
              <w:t>4. Зачисление сумм «грантов» во вклад в валюте поступления в валюте отличной от валюты поступления</w:t>
            </w:r>
          </w:p>
        </w:tc>
        <w:tc>
          <w:tcPr>
            <w:tcW w:w="2130" w:type="dxa"/>
          </w:tcPr>
          <w:p w:rsidR="006905D5" w:rsidRDefault="006905D5">
            <w:r>
              <w:t>Дт  40905,</w:t>
            </w:r>
          </w:p>
          <w:p w:rsidR="006905D5" w:rsidRDefault="006905D5">
            <w:r>
              <w:t xml:space="preserve">      40909.03,</w:t>
            </w:r>
          </w:p>
          <w:p w:rsidR="006905D5" w:rsidRDefault="006905D5">
            <w:r>
              <w:t xml:space="preserve">      40910.03</w:t>
            </w:r>
          </w:p>
          <w:p w:rsidR="006905D5" w:rsidRDefault="006905D5">
            <w:r>
              <w:t>Кт  423,426</w:t>
            </w:r>
          </w:p>
          <w:p w:rsidR="006905D5" w:rsidRDefault="006905D5">
            <w:r>
              <w:t>Кт  61306.03</w:t>
            </w:r>
          </w:p>
        </w:tc>
        <w:tc>
          <w:tcPr>
            <w:tcW w:w="2130" w:type="dxa"/>
          </w:tcPr>
          <w:p w:rsidR="006905D5" w:rsidRDefault="006905D5"/>
        </w:tc>
        <w:tc>
          <w:tcPr>
            <w:tcW w:w="2130" w:type="dxa"/>
          </w:tcPr>
          <w:p w:rsidR="006905D5" w:rsidRDefault="006905D5"/>
        </w:tc>
      </w:tr>
      <w:tr w:rsidR="006905D5">
        <w:tc>
          <w:tcPr>
            <w:tcW w:w="2130" w:type="dxa"/>
          </w:tcPr>
          <w:p w:rsidR="006905D5" w:rsidRDefault="006905D5">
            <w:r>
              <w:t>5. Возврат невостребованного остатка средств в УБУиО</w:t>
            </w:r>
          </w:p>
        </w:tc>
        <w:tc>
          <w:tcPr>
            <w:tcW w:w="2130" w:type="dxa"/>
          </w:tcPr>
          <w:p w:rsidR="006905D5" w:rsidRDefault="006905D5">
            <w:r>
              <w:t>Дт  40905,</w:t>
            </w:r>
          </w:p>
          <w:p w:rsidR="006905D5" w:rsidRDefault="006905D5">
            <w:r>
              <w:t xml:space="preserve">      40909.03,</w:t>
            </w:r>
          </w:p>
          <w:p w:rsidR="006905D5" w:rsidRDefault="006905D5">
            <w:r>
              <w:t xml:space="preserve">      40910.03</w:t>
            </w:r>
          </w:p>
          <w:p w:rsidR="006905D5" w:rsidRDefault="006905D5">
            <w:r>
              <w:t>Кт  30301.06</w:t>
            </w:r>
          </w:p>
        </w:tc>
        <w:tc>
          <w:tcPr>
            <w:tcW w:w="2130" w:type="dxa"/>
          </w:tcPr>
          <w:p w:rsidR="006905D5" w:rsidRDefault="006905D5">
            <w:r>
              <w:t>Дт  30302.01,</w:t>
            </w:r>
          </w:p>
          <w:p w:rsidR="006905D5" w:rsidRDefault="006905D5">
            <w:r>
              <w:t xml:space="preserve">       60311.01</w:t>
            </w:r>
          </w:p>
          <w:p w:rsidR="006905D5" w:rsidRDefault="006905D5">
            <w:r>
              <w:t>Кт  70103,</w:t>
            </w:r>
          </w:p>
          <w:p w:rsidR="006905D5" w:rsidRDefault="006905D5">
            <w:r>
              <w:t xml:space="preserve">       70107</w:t>
            </w:r>
          </w:p>
          <w:p w:rsidR="006905D5" w:rsidRDefault="006905D5">
            <w:r>
              <w:t>Кт60309.01</w:t>
            </w:r>
          </w:p>
        </w:tc>
        <w:tc>
          <w:tcPr>
            <w:tcW w:w="2130" w:type="dxa"/>
          </w:tcPr>
          <w:p w:rsidR="006905D5" w:rsidRDefault="006905D5">
            <w:r>
              <w:t>Дт  301</w:t>
            </w:r>
          </w:p>
          <w:p w:rsidR="006905D5" w:rsidRDefault="006905D5">
            <w:r>
              <w:t>Кт  30301.01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6. Возврат невостребованных средств распорядителю средств</w:t>
            </w:r>
          </w:p>
        </w:tc>
        <w:tc>
          <w:tcPr>
            <w:tcW w:w="2130" w:type="dxa"/>
          </w:tcPr>
          <w:p w:rsidR="006905D5" w:rsidRDefault="006905D5"/>
        </w:tc>
        <w:tc>
          <w:tcPr>
            <w:tcW w:w="2130" w:type="dxa"/>
          </w:tcPr>
          <w:p w:rsidR="006905D5" w:rsidRDefault="006905D5">
            <w:r>
              <w:t>Дт  40905,</w:t>
            </w:r>
          </w:p>
          <w:p w:rsidR="006905D5" w:rsidRDefault="006905D5">
            <w:r>
              <w:t xml:space="preserve">      40909.03</w:t>
            </w:r>
          </w:p>
          <w:p w:rsidR="006905D5" w:rsidRDefault="006905D5">
            <w:r>
              <w:t xml:space="preserve">      40910.03</w:t>
            </w:r>
          </w:p>
          <w:p w:rsidR="006905D5" w:rsidRDefault="006905D5">
            <w:r>
              <w:t>Кт  30301.01</w:t>
            </w:r>
          </w:p>
          <w:p w:rsidR="006905D5" w:rsidRDefault="006905D5"/>
        </w:tc>
        <w:tc>
          <w:tcPr>
            <w:tcW w:w="2130" w:type="dxa"/>
          </w:tcPr>
          <w:p w:rsidR="006905D5" w:rsidRDefault="006905D5">
            <w:r>
              <w:t>Дт  30302.01</w:t>
            </w:r>
          </w:p>
          <w:p w:rsidR="006905D5" w:rsidRDefault="006905D5">
            <w:pPr>
              <w:pStyle w:val="3"/>
              <w:rPr>
                <w:sz w:val="20"/>
              </w:rPr>
            </w:pPr>
            <w:r>
              <w:rPr>
                <w:sz w:val="20"/>
              </w:rPr>
              <w:t>Кт  301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7. Предоплата комиссионного вознаграждения (в случае наличия в Договоре даты оказания Сбербанком России услуг), в т. ч. НДС</w:t>
            </w:r>
          </w:p>
        </w:tc>
        <w:tc>
          <w:tcPr>
            <w:tcW w:w="2130" w:type="dxa"/>
          </w:tcPr>
          <w:p w:rsidR="006905D5" w:rsidRDefault="006905D5">
            <w:pPr>
              <w:rPr>
                <w:sz w:val="22"/>
              </w:rPr>
            </w:pPr>
          </w:p>
        </w:tc>
        <w:tc>
          <w:tcPr>
            <w:tcW w:w="2130" w:type="dxa"/>
          </w:tcPr>
          <w:p w:rsidR="006905D5" w:rsidRDefault="006905D5">
            <w:r>
              <w:t>Дт  30302.01</w:t>
            </w:r>
          </w:p>
          <w:p w:rsidR="006905D5" w:rsidRDefault="006905D5">
            <w:r>
              <w:t>Кт  60311.02</w:t>
            </w:r>
          </w:p>
          <w:p w:rsidR="006905D5" w:rsidRDefault="006905D5">
            <w:r>
              <w:t>Кт  60309.01</w:t>
            </w:r>
            <w:r>
              <w:br/>
            </w:r>
            <w:r>
              <w:br/>
            </w:r>
          </w:p>
        </w:tc>
        <w:tc>
          <w:tcPr>
            <w:tcW w:w="2130" w:type="dxa"/>
          </w:tcPr>
          <w:p w:rsidR="006905D5" w:rsidRDefault="006905D5">
            <w:r>
              <w:t>Дт  301</w:t>
            </w:r>
          </w:p>
          <w:p w:rsidR="006905D5" w:rsidRDefault="006905D5">
            <w:r>
              <w:t>Кт  30301.01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8. Комиссионное вознаграждение, выплачиваемое распорядителями средств, в т. ч.  НДС</w:t>
            </w:r>
          </w:p>
        </w:tc>
        <w:tc>
          <w:tcPr>
            <w:tcW w:w="2130" w:type="dxa"/>
          </w:tcPr>
          <w:p w:rsidR="006905D5" w:rsidRDefault="006905D5"/>
        </w:tc>
        <w:tc>
          <w:tcPr>
            <w:tcW w:w="2130" w:type="dxa"/>
          </w:tcPr>
          <w:p w:rsidR="006905D5" w:rsidRDefault="006905D5">
            <w:r>
              <w:t>Дт  30302.01,</w:t>
            </w:r>
          </w:p>
          <w:p w:rsidR="006905D5" w:rsidRDefault="006905D5">
            <w:r>
              <w:t xml:space="preserve">       60311.02</w:t>
            </w:r>
          </w:p>
          <w:p w:rsidR="006905D5" w:rsidRDefault="006905D5">
            <w:r>
              <w:t>Кт   70103,</w:t>
            </w:r>
          </w:p>
          <w:p w:rsidR="006905D5" w:rsidRDefault="006905D5">
            <w:r>
              <w:t xml:space="preserve">       70107</w:t>
            </w:r>
          </w:p>
          <w:p w:rsidR="006905D5" w:rsidRDefault="006905D5">
            <w:r>
              <w:t>Кт   60309.01</w:t>
            </w:r>
          </w:p>
        </w:tc>
        <w:tc>
          <w:tcPr>
            <w:tcW w:w="2130" w:type="dxa"/>
          </w:tcPr>
          <w:p w:rsidR="006905D5" w:rsidRDefault="006905D5">
            <w:r>
              <w:t>Дт  301</w:t>
            </w:r>
          </w:p>
          <w:p w:rsidR="006905D5" w:rsidRDefault="006905D5">
            <w:r>
              <w:t>Кт  30301.01</w:t>
            </w:r>
          </w:p>
        </w:tc>
      </w:tr>
    </w:tbl>
    <w:p w:rsidR="006905D5" w:rsidRDefault="006905D5"/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При этом аналитический учет сумм «грантов» на балансе </w:t>
      </w:r>
      <w:r>
        <w:rPr>
          <w:sz w:val="28"/>
          <w:lang w:val="en-US"/>
        </w:rPr>
        <w:t>E</w:t>
      </w:r>
      <w:r>
        <w:rPr>
          <w:sz w:val="28"/>
        </w:rPr>
        <w:t>БУиО Сбербанка России и территориальных банков ведется на отдельных лицевых счетах, раздельно по каждому этапу выплат сумм «грантов».</w:t>
      </w:r>
    </w:p>
    <w:p w:rsidR="006905D5" w:rsidRDefault="006905D5">
      <w:pPr>
        <w:pStyle w:val="a8"/>
      </w:pPr>
      <w:r>
        <w:t xml:space="preserve">   По счету 40905 структурными подразделениями непосредственно обслуживающими клиентов – получателей средств, ведется аналитический учет сумм «грантов» в разрезе каждого этапа выплат и каждого получателя средств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Кроме этого, после официального прекращения выплат «грантов» отдельного этапа и возврата в установленном порядке сумм не выплаченных «грантов» (при их наличии), остаток средств на соответствующем данному этапу выплат лицевом счете балансового счета № 40909.03 (40910.03, 40905) должен быть равен нулю.</w:t>
      </w:r>
    </w:p>
    <w:p w:rsidR="006905D5" w:rsidRDefault="006905D5">
      <w:pPr>
        <w:spacing w:line="360" w:lineRule="auto"/>
        <w:jc w:val="center"/>
        <w:rPr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</w:t>
      </w:r>
      <w:r>
        <w:rPr>
          <w:sz w:val="28"/>
        </w:rPr>
        <w:t>Таблица 2.</w:t>
      </w:r>
    </w:p>
    <w:p w:rsidR="006905D5" w:rsidRDefault="006905D5">
      <w:pPr>
        <w:pStyle w:val="a7"/>
        <w:spacing w:line="360" w:lineRule="auto"/>
      </w:pPr>
      <w:r>
        <w:t>Суммы поступившие от распорядителей средств для зачисления на счета по вкладам учитываются следующим образом: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130"/>
        <w:gridCol w:w="2130"/>
        <w:gridCol w:w="2130"/>
      </w:tblGrid>
      <w:tr w:rsidR="006905D5">
        <w:tc>
          <w:tcPr>
            <w:tcW w:w="2130" w:type="dxa"/>
          </w:tcPr>
          <w:p w:rsidR="006905D5" w:rsidRDefault="006905D5">
            <w:pPr>
              <w:pStyle w:val="2"/>
              <w:rPr>
                <w:sz w:val="24"/>
              </w:rPr>
            </w:pPr>
            <w:r>
              <w:rPr>
                <w:sz w:val="24"/>
              </w:rPr>
              <w:t>Операция</w:t>
            </w:r>
          </w:p>
        </w:tc>
        <w:tc>
          <w:tcPr>
            <w:tcW w:w="2130" w:type="dxa"/>
          </w:tcPr>
          <w:p w:rsidR="006905D5" w:rsidRDefault="006905D5">
            <w:pPr>
              <w:pStyle w:val="2"/>
              <w:rPr>
                <w:sz w:val="24"/>
              </w:rPr>
            </w:pPr>
            <w:r>
              <w:rPr>
                <w:sz w:val="24"/>
              </w:rPr>
              <w:t>Филиал</w:t>
            </w:r>
          </w:p>
        </w:tc>
        <w:tc>
          <w:tcPr>
            <w:tcW w:w="2130" w:type="dxa"/>
          </w:tcPr>
          <w:p w:rsidR="006905D5" w:rsidRDefault="006905D5">
            <w:pPr>
              <w:pStyle w:val="2"/>
              <w:rPr>
                <w:sz w:val="24"/>
              </w:rPr>
            </w:pPr>
            <w:r>
              <w:rPr>
                <w:sz w:val="24"/>
              </w:rPr>
              <w:t>УБУиО</w:t>
            </w:r>
          </w:p>
        </w:tc>
        <w:tc>
          <w:tcPr>
            <w:tcW w:w="2130" w:type="dxa"/>
          </w:tcPr>
          <w:p w:rsidR="006905D5" w:rsidRDefault="006905D5">
            <w:pPr>
              <w:pStyle w:val="2"/>
              <w:rPr>
                <w:sz w:val="24"/>
              </w:rPr>
            </w:pPr>
            <w:r>
              <w:rPr>
                <w:sz w:val="24"/>
              </w:rPr>
              <w:t>ГРЦ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1. Поступление сумм «грантов», для зачисления средств во вклад</w:t>
            </w:r>
          </w:p>
        </w:tc>
        <w:tc>
          <w:tcPr>
            <w:tcW w:w="2130" w:type="dxa"/>
          </w:tcPr>
          <w:p w:rsidR="006905D5" w:rsidRDefault="006905D5">
            <w:pPr>
              <w:rPr>
                <w:b/>
              </w:rPr>
            </w:pPr>
          </w:p>
        </w:tc>
        <w:tc>
          <w:tcPr>
            <w:tcW w:w="2130" w:type="dxa"/>
          </w:tcPr>
          <w:p w:rsidR="006905D5" w:rsidRDefault="006905D5">
            <w:pPr>
              <w:pStyle w:val="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Дк  30302.01</w:t>
            </w:r>
          </w:p>
          <w:p w:rsidR="006905D5" w:rsidRDefault="006905D5">
            <w:pPr>
              <w:rPr>
                <w:b/>
              </w:rPr>
            </w:pPr>
            <w:r>
              <w:t>Кт  47422.99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301</w:t>
            </w:r>
          </w:p>
          <w:p w:rsidR="006905D5" w:rsidRDefault="006905D5">
            <w:r>
              <w:t>Кт  30301.01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2. Перечисление средств в структурные подразделения и зачисление во вклад</w:t>
            </w:r>
          </w:p>
        </w:tc>
        <w:tc>
          <w:tcPr>
            <w:tcW w:w="2130" w:type="dxa"/>
          </w:tcPr>
          <w:p w:rsidR="006905D5" w:rsidRDefault="006905D5">
            <w:r>
              <w:t>Дт  30302.06</w:t>
            </w:r>
          </w:p>
          <w:p w:rsidR="006905D5" w:rsidRDefault="006905D5">
            <w:pPr>
              <w:rPr>
                <w:b/>
              </w:rPr>
            </w:pPr>
            <w:r>
              <w:t>Кт  423,426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47422.99</w:t>
            </w:r>
          </w:p>
          <w:p w:rsidR="006905D5" w:rsidRDefault="006905D5">
            <w:r>
              <w:t>Кт  30301.01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30302.01</w:t>
            </w:r>
          </w:p>
          <w:p w:rsidR="006905D5" w:rsidRDefault="006905D5">
            <w:pPr>
              <w:rPr>
                <w:b/>
              </w:rPr>
            </w:pPr>
            <w:r>
              <w:t>Кт  30301.06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3. Поступление сумм с ошибочными реквизитами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30302.06</w:t>
            </w:r>
          </w:p>
          <w:p w:rsidR="006905D5" w:rsidRDefault="006905D5">
            <w:pPr>
              <w:pStyle w:val="4"/>
              <w:rPr>
                <w:sz w:val="20"/>
              </w:rPr>
            </w:pPr>
            <w:r>
              <w:rPr>
                <w:b w:val="0"/>
                <w:sz w:val="20"/>
              </w:rPr>
              <w:t>Кт  47416</w:t>
            </w:r>
          </w:p>
        </w:tc>
        <w:tc>
          <w:tcPr>
            <w:tcW w:w="2130" w:type="dxa"/>
          </w:tcPr>
          <w:p w:rsidR="006905D5" w:rsidRDefault="006905D5">
            <w:pPr>
              <w:jc w:val="center"/>
              <w:rPr>
                <w:b/>
                <w:sz w:val="28"/>
              </w:rPr>
            </w:pPr>
          </w:p>
        </w:tc>
        <w:tc>
          <w:tcPr>
            <w:tcW w:w="2130" w:type="dxa"/>
          </w:tcPr>
          <w:p w:rsidR="006905D5" w:rsidRDefault="006905D5">
            <w:pPr>
              <w:jc w:val="center"/>
              <w:rPr>
                <w:b/>
                <w:sz w:val="28"/>
              </w:rPr>
            </w:pPr>
          </w:p>
        </w:tc>
      </w:tr>
      <w:tr w:rsidR="006905D5">
        <w:tc>
          <w:tcPr>
            <w:tcW w:w="2130" w:type="dxa"/>
          </w:tcPr>
          <w:p w:rsidR="006905D5" w:rsidRDefault="006905D5">
            <w:r>
              <w:t>4. Зачисление «грантов» во вклад после выяснения реквизитов</w:t>
            </w:r>
          </w:p>
        </w:tc>
        <w:tc>
          <w:tcPr>
            <w:tcW w:w="2130" w:type="dxa"/>
          </w:tcPr>
          <w:p w:rsidR="006905D5" w:rsidRDefault="006905D5">
            <w:pPr>
              <w:pStyle w:val="6"/>
              <w:rPr>
                <w:sz w:val="20"/>
              </w:rPr>
            </w:pPr>
            <w:r>
              <w:rPr>
                <w:sz w:val="20"/>
              </w:rPr>
              <w:t>Дт  47416</w:t>
            </w:r>
          </w:p>
          <w:p w:rsidR="006905D5" w:rsidRDefault="006905D5">
            <w:r>
              <w:t>Кт423,426</w:t>
            </w:r>
          </w:p>
        </w:tc>
        <w:tc>
          <w:tcPr>
            <w:tcW w:w="2130" w:type="dxa"/>
          </w:tcPr>
          <w:p w:rsidR="006905D5" w:rsidRDefault="006905D5">
            <w:pPr>
              <w:jc w:val="center"/>
              <w:rPr>
                <w:b/>
                <w:sz w:val="28"/>
              </w:rPr>
            </w:pPr>
          </w:p>
        </w:tc>
        <w:tc>
          <w:tcPr>
            <w:tcW w:w="2130" w:type="dxa"/>
          </w:tcPr>
          <w:p w:rsidR="006905D5" w:rsidRDefault="006905D5">
            <w:pPr>
              <w:jc w:val="center"/>
              <w:rPr>
                <w:b/>
                <w:sz w:val="28"/>
              </w:rPr>
            </w:pPr>
          </w:p>
        </w:tc>
      </w:tr>
      <w:tr w:rsidR="006905D5">
        <w:tc>
          <w:tcPr>
            <w:tcW w:w="2130" w:type="dxa"/>
          </w:tcPr>
          <w:p w:rsidR="006905D5" w:rsidRDefault="006905D5">
            <w:pPr>
              <w:rPr>
                <w:sz w:val="22"/>
              </w:rPr>
            </w:pPr>
            <w:r>
              <w:t>5. Возврат сумм, поступивших с ошибочными реквизитами, в</w:t>
            </w:r>
            <w:r>
              <w:rPr>
                <w:sz w:val="22"/>
              </w:rPr>
              <w:t xml:space="preserve"> УБУиО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47416</w:t>
            </w:r>
          </w:p>
          <w:p w:rsidR="006905D5" w:rsidRDefault="006905D5">
            <w:pPr>
              <w:rPr>
                <w:b/>
                <w:sz w:val="28"/>
              </w:rPr>
            </w:pPr>
            <w:r>
              <w:t>Кт  30301.06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30302.01</w:t>
            </w:r>
          </w:p>
          <w:p w:rsidR="006905D5" w:rsidRDefault="006905D5">
            <w:pPr>
              <w:rPr>
                <w:b/>
              </w:rPr>
            </w:pPr>
            <w:r>
              <w:t>Кт  47422.99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30301.06</w:t>
            </w:r>
          </w:p>
          <w:p w:rsidR="006905D5" w:rsidRDefault="006905D5">
            <w:pPr>
              <w:rPr>
                <w:b/>
              </w:rPr>
            </w:pPr>
            <w:r>
              <w:t>Кт  30301.01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pPr>
              <w:rPr>
                <w:sz w:val="22"/>
              </w:rPr>
            </w:pPr>
            <w:r>
              <w:t>6. Возврат сумм, поступивших с ошибочными реквизитами, распорядителю</w:t>
            </w:r>
            <w:r>
              <w:rPr>
                <w:sz w:val="22"/>
              </w:rPr>
              <w:t xml:space="preserve"> средств</w:t>
            </w:r>
          </w:p>
        </w:tc>
        <w:tc>
          <w:tcPr>
            <w:tcW w:w="2130" w:type="dxa"/>
          </w:tcPr>
          <w:p w:rsidR="006905D5" w:rsidRDefault="006905D5">
            <w:pPr>
              <w:rPr>
                <w:b/>
                <w:sz w:val="28"/>
              </w:rPr>
            </w:pP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47422.99</w:t>
            </w:r>
          </w:p>
          <w:p w:rsidR="006905D5" w:rsidRDefault="006905D5">
            <w:pPr>
              <w:rPr>
                <w:b/>
                <w:sz w:val="28"/>
              </w:rPr>
            </w:pPr>
            <w:r>
              <w:t>Кт  30301.01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30302.01</w:t>
            </w:r>
          </w:p>
          <w:p w:rsidR="006905D5" w:rsidRDefault="006905D5">
            <w:r>
              <w:t>Кт  301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 xml:space="preserve">7. Предоплата комиссионного вознаграждения </w:t>
            </w:r>
          </w:p>
        </w:tc>
        <w:tc>
          <w:tcPr>
            <w:tcW w:w="2130" w:type="dxa"/>
          </w:tcPr>
          <w:p w:rsidR="006905D5" w:rsidRDefault="006905D5">
            <w:pPr>
              <w:rPr>
                <w:b/>
                <w:sz w:val="28"/>
              </w:rPr>
            </w:pP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30302.01</w:t>
            </w:r>
          </w:p>
          <w:p w:rsidR="006905D5" w:rsidRDefault="006905D5">
            <w:r>
              <w:t>Кт  60311.02</w:t>
            </w:r>
          </w:p>
          <w:p w:rsidR="006905D5" w:rsidRDefault="006905D5">
            <w:pPr>
              <w:rPr>
                <w:sz w:val="22"/>
              </w:rPr>
            </w:pPr>
            <w:r>
              <w:t>Кт  60309.01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301</w:t>
            </w:r>
          </w:p>
          <w:p w:rsidR="006905D5" w:rsidRDefault="006905D5">
            <w:pPr>
              <w:rPr>
                <w:b/>
              </w:rPr>
            </w:pPr>
            <w:r>
              <w:t>Кт  30301.01</w:t>
            </w:r>
          </w:p>
        </w:tc>
      </w:tr>
      <w:tr w:rsidR="006905D5">
        <w:tc>
          <w:tcPr>
            <w:tcW w:w="2130" w:type="dxa"/>
          </w:tcPr>
          <w:p w:rsidR="006905D5" w:rsidRDefault="006905D5">
            <w:r>
              <w:t>8. Комиссионное вознаграждение, выплачиваемое распорядителями средств, в т. ч. НДС</w:t>
            </w:r>
          </w:p>
        </w:tc>
        <w:tc>
          <w:tcPr>
            <w:tcW w:w="2130" w:type="dxa"/>
          </w:tcPr>
          <w:p w:rsidR="006905D5" w:rsidRDefault="006905D5">
            <w:pPr>
              <w:jc w:val="center"/>
              <w:rPr>
                <w:b/>
                <w:sz w:val="28"/>
              </w:rPr>
            </w:pPr>
          </w:p>
        </w:tc>
        <w:tc>
          <w:tcPr>
            <w:tcW w:w="2130" w:type="dxa"/>
          </w:tcPr>
          <w:p w:rsidR="006905D5" w:rsidRDefault="006905D5">
            <w:r>
              <w:t>Дт  30302.01,</w:t>
            </w:r>
          </w:p>
          <w:p w:rsidR="006905D5" w:rsidRDefault="006905D5">
            <w:r>
              <w:t xml:space="preserve">       60311.02</w:t>
            </w:r>
          </w:p>
          <w:p w:rsidR="006905D5" w:rsidRDefault="006905D5">
            <w:r>
              <w:t>Кт  70103,</w:t>
            </w:r>
          </w:p>
          <w:p w:rsidR="006905D5" w:rsidRDefault="006905D5">
            <w:r>
              <w:t xml:space="preserve">       70107</w:t>
            </w:r>
          </w:p>
          <w:p w:rsidR="006905D5" w:rsidRDefault="006905D5">
            <w:r>
              <w:t>Кт  60309.01</w:t>
            </w:r>
          </w:p>
        </w:tc>
        <w:tc>
          <w:tcPr>
            <w:tcW w:w="2130" w:type="dxa"/>
          </w:tcPr>
          <w:p w:rsidR="006905D5" w:rsidRDefault="006905D5">
            <w:pPr>
              <w:pStyle w:val="5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Дт  301</w:t>
            </w:r>
          </w:p>
          <w:p w:rsidR="006905D5" w:rsidRDefault="006905D5">
            <w:pPr>
              <w:rPr>
                <w:b/>
                <w:sz w:val="28"/>
              </w:rPr>
            </w:pPr>
            <w:r>
              <w:t>Кт  30301.01</w:t>
            </w:r>
          </w:p>
        </w:tc>
      </w:tr>
    </w:tbl>
    <w:p w:rsidR="006905D5" w:rsidRDefault="006905D5">
      <w:pPr>
        <w:rPr>
          <w:b/>
          <w:sz w:val="28"/>
        </w:rPr>
      </w:pPr>
    </w:p>
    <w:p w:rsidR="006905D5" w:rsidRDefault="006905D5">
      <w:pPr>
        <w:rPr>
          <w:b/>
          <w:sz w:val="28"/>
        </w:rPr>
      </w:pPr>
    </w:p>
    <w:p w:rsidR="006905D5" w:rsidRDefault="006905D5">
      <w:pPr>
        <w:rPr>
          <w:b/>
          <w:sz w:val="28"/>
        </w:rPr>
      </w:pPr>
    </w:p>
    <w:p w:rsidR="006905D5" w:rsidRDefault="006905D5">
      <w:pPr>
        <w:spacing w:line="360" w:lineRule="auto"/>
        <w:rPr>
          <w:b/>
          <w:sz w:val="28"/>
        </w:rPr>
      </w:pPr>
      <w:r>
        <w:rPr>
          <w:b/>
          <w:sz w:val="28"/>
        </w:rPr>
        <w:t>Перечень счетов:</w:t>
      </w:r>
    </w:p>
    <w:p w:rsidR="006905D5" w:rsidRDefault="006905D5">
      <w:pPr>
        <w:spacing w:line="360" w:lineRule="auto"/>
        <w:rPr>
          <w:b/>
          <w:sz w:val="28"/>
        </w:rPr>
      </w:pPr>
    </w:p>
    <w:p w:rsidR="006905D5" w:rsidRDefault="006905D5">
      <w:pPr>
        <w:spacing w:line="360" w:lineRule="auto"/>
        <w:rPr>
          <w:sz w:val="28"/>
        </w:rPr>
      </w:pPr>
      <w:r>
        <w:rPr>
          <w:b/>
          <w:sz w:val="28"/>
        </w:rPr>
        <w:t xml:space="preserve">20202-  </w:t>
      </w:r>
      <w:r>
        <w:rPr>
          <w:sz w:val="28"/>
        </w:rPr>
        <w:t>Касса кредитных организаций</w:t>
      </w:r>
    </w:p>
    <w:p w:rsidR="006905D5" w:rsidRDefault="006905D5">
      <w:pPr>
        <w:numPr>
          <w:ilvl w:val="0"/>
          <w:numId w:val="3"/>
        </w:numPr>
        <w:spacing w:line="360" w:lineRule="auto"/>
        <w:rPr>
          <w:sz w:val="28"/>
        </w:rPr>
      </w:pPr>
      <w:r>
        <w:rPr>
          <w:sz w:val="28"/>
        </w:rPr>
        <w:t>Наличная валюта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20207-  Денежные средства в операционных кассах, находящиеся    вне помещений кредитных организаций</w:t>
      </w:r>
    </w:p>
    <w:p w:rsidR="006905D5" w:rsidRDefault="006905D5">
      <w:pPr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>Корреспондентские счета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30301-  Расчеты с филиалами, расположенными в РФ</w:t>
      </w:r>
    </w:p>
    <w:p w:rsidR="006905D5" w:rsidRDefault="006905D5">
      <w:pPr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Счета меж филиальных расчетов учреждений Сбербанка России в расчетных центрах России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30302-  Расчеты с филиалами, расположенными в РФ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40905-  Текущие счета уполномоченных и невыплаченных переводов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40909-  Переводы в РФ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 xml:space="preserve">     03-  Невыплаченные переводы, поступившие в РФ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40910-  Переводы в РФ нерезидентам</w:t>
      </w:r>
    </w:p>
    <w:p w:rsidR="006905D5" w:rsidRDefault="006905D5">
      <w:pPr>
        <w:numPr>
          <w:ilvl w:val="0"/>
          <w:numId w:val="6"/>
        </w:numPr>
        <w:spacing w:line="360" w:lineRule="auto"/>
        <w:rPr>
          <w:sz w:val="28"/>
        </w:rPr>
      </w:pPr>
      <w:r>
        <w:rPr>
          <w:sz w:val="28"/>
        </w:rPr>
        <w:t>Депозиты и прочие привлеченные средства физических лиц</w:t>
      </w:r>
    </w:p>
    <w:p w:rsidR="006905D5" w:rsidRDefault="006905D5">
      <w:pPr>
        <w:spacing w:line="360" w:lineRule="auto"/>
        <w:ind w:left="300"/>
        <w:rPr>
          <w:sz w:val="28"/>
        </w:rPr>
      </w:pPr>
      <w:r>
        <w:rPr>
          <w:sz w:val="28"/>
        </w:rPr>
        <w:t>426- Депозиты и прочие привлеченные средства физических лиц-нерезидентов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47422-  Обязательства по прочим операциям</w:t>
      </w:r>
    </w:p>
    <w:p w:rsidR="006905D5" w:rsidRDefault="006905D5">
      <w:pPr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>Прочие обязательства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60309-  Налог на добавленную стоимость полученный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60311-  Расчеты с поставщиками, подрядчиками и покупателями</w:t>
      </w:r>
    </w:p>
    <w:p w:rsidR="006905D5" w:rsidRDefault="006905D5">
      <w:pPr>
        <w:numPr>
          <w:ilvl w:val="0"/>
          <w:numId w:val="3"/>
        </w:numPr>
        <w:spacing w:line="360" w:lineRule="auto"/>
        <w:rPr>
          <w:sz w:val="28"/>
        </w:rPr>
      </w:pPr>
      <w:r>
        <w:rPr>
          <w:sz w:val="28"/>
        </w:rPr>
        <w:t>Расчеты по затратам не капитального характера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61306-  Переоценка средств в иностранной валюте-положительные разницы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70103-  Доходы, полученные от операций с иностранной валютой, чеками (в том числе дорожными чеками), номинальная стоимость которых указана в иностранной валюте</w:t>
      </w:r>
    </w:p>
    <w:p w:rsidR="006905D5" w:rsidRDefault="006905D5">
      <w:pPr>
        <w:spacing w:line="360" w:lineRule="auto"/>
        <w:rPr>
          <w:sz w:val="28"/>
        </w:rPr>
      </w:pPr>
      <w:r>
        <w:rPr>
          <w:sz w:val="28"/>
        </w:rPr>
        <w:t>70107-  Другие доходы</w:t>
      </w: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jc w:val="center"/>
        <w:rPr>
          <w:b/>
          <w:i/>
          <w:sz w:val="32"/>
        </w:rPr>
      </w:pPr>
    </w:p>
    <w:p w:rsidR="006905D5" w:rsidRDefault="006905D5">
      <w:pPr>
        <w:jc w:val="center"/>
        <w:rPr>
          <w:b/>
          <w:i/>
          <w:sz w:val="32"/>
        </w:rPr>
      </w:pPr>
      <w:r>
        <w:rPr>
          <w:b/>
          <w:i/>
          <w:sz w:val="32"/>
        </w:rPr>
        <w:t>2.3 Анализ финансовой устойчивости.</w:t>
      </w:r>
    </w:p>
    <w:p w:rsidR="006905D5" w:rsidRDefault="006905D5">
      <w:pPr>
        <w:spacing w:line="360" w:lineRule="auto"/>
        <w:jc w:val="both"/>
        <w:rPr>
          <w:sz w:val="28"/>
        </w:rPr>
      </w:pPr>
    </w:p>
    <w:p w:rsidR="006905D5" w:rsidRDefault="006905D5">
      <w:pPr>
        <w:pStyle w:val="a7"/>
        <w:spacing w:line="360" w:lineRule="auto"/>
        <w:jc w:val="both"/>
      </w:pPr>
      <w:r>
        <w:rPr>
          <w:b w:val="0"/>
        </w:rPr>
        <w:t xml:space="preserve">   Финансовая устойчивость – это определенное состояние счетов предприятия, обеспечивающее его постоянную платежеспособность. Каждый из типов финансовой устойчивости, характеризуется набором показателей, дающих полную картину финансового состояния</w:t>
      </w:r>
      <w:r>
        <w:t>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Чтобы оценить степень защищенности инвесторов и кредиторов мы используем относительные показатели, они определяют способность предприятия рассчитаться с долгами.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>Относительные показатели финансовой устойчивости:</w:t>
      </w:r>
    </w:p>
    <w:p w:rsidR="006905D5" w:rsidRDefault="006905D5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коэффициент автономии. Он характеризует в какой степени используемые активы сформированы за счет собственного капитала, норма больше либо равно 0,5;</w:t>
      </w:r>
    </w:p>
    <w:p w:rsidR="006905D5" w:rsidRDefault="006905D5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коэффициент заемного капитала. Он характеризует долю заемных средств в источниках финансирования, является обратным к коэффициенту автономии, норма меньше либо равно 0,5;</w:t>
      </w:r>
    </w:p>
    <w:p w:rsidR="006905D5" w:rsidRDefault="006905D5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коэффициент финансовой зависимости. Он показывает в какой степени организация зависит от внешних источников финансирования, т. е. Сколько заемных средств приходится на 1 рубль собственного капитала. Также этот коэффициент говорит о мере способности предприятия, ликвидировав активы погасить задолженности, норма меньше либо равно 0,7;</w:t>
      </w:r>
    </w:p>
    <w:p w:rsidR="006905D5" w:rsidRDefault="006905D5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коэффициент финансовой независимости. Он показывает степень независимости организации от заемных источников финансирования;</w:t>
      </w:r>
    </w:p>
    <w:p w:rsidR="006905D5" w:rsidRDefault="006905D5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коэффициент обеспеченности собственными оборотными средствами. Он показывает наличие собственных оборотных средств необходимых для финансовой устойчивости, норма больше либо равно 0,1;</w:t>
      </w:r>
    </w:p>
    <w:p w:rsidR="006905D5" w:rsidRDefault="006905D5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коэффициент маневренности. Он показывает какую долю занимает собственный капитал, инвестируемый в оборотные активы, в общей сумме собственного капитала, норма (0,2; 0,5).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>Кав - коэффициент автономии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</w:rPr>
        <w:t>Кзаем - коэффициент заемного капитала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  <w:lang w:val="en-US"/>
        </w:rPr>
        <w:t>К</w:t>
      </w:r>
      <w:r>
        <w:rPr>
          <w:sz w:val="28"/>
        </w:rPr>
        <w:t>фз - коэффициент финансовой зависимости</w:t>
      </w:r>
    </w:p>
    <w:p w:rsidR="006905D5" w:rsidRDefault="006905D5">
      <w:pPr>
        <w:spacing w:line="360" w:lineRule="auto"/>
        <w:jc w:val="both"/>
        <w:rPr>
          <w:sz w:val="28"/>
        </w:rPr>
      </w:pPr>
      <w:r>
        <w:rPr>
          <w:sz w:val="28"/>
          <w:lang w:val="en-US"/>
        </w:rPr>
        <w:t>К</w:t>
      </w:r>
      <w:r>
        <w:rPr>
          <w:sz w:val="28"/>
        </w:rPr>
        <w:t>фнз - коэффициент финансовой независимости</w:t>
      </w:r>
    </w:p>
    <w:p w:rsidR="006905D5" w:rsidRDefault="006905D5">
      <w:pPr>
        <w:pStyle w:val="a8"/>
      </w:pPr>
      <w:r>
        <w:t>Косос-коэффициент обеспеченности собственными оборотными средствами</w:t>
      </w:r>
    </w:p>
    <w:p w:rsidR="006905D5" w:rsidRDefault="006905D5">
      <w:pPr>
        <w:pStyle w:val="a8"/>
      </w:pPr>
      <w:r>
        <w:t>Км- коэффициент маневренности</w:t>
      </w:r>
    </w:p>
    <w:p w:rsidR="006905D5" w:rsidRDefault="006905D5">
      <w:pPr>
        <w:pStyle w:val="a8"/>
      </w:pPr>
      <w:r>
        <w:t>КиР – показатель капитал и резервы</w:t>
      </w:r>
    </w:p>
    <w:p w:rsidR="006905D5" w:rsidRDefault="006905D5">
      <w:pPr>
        <w:pStyle w:val="a8"/>
      </w:pPr>
      <w:r>
        <w:t>Б- стоимость имущества предприятия</w:t>
      </w:r>
    </w:p>
    <w:p w:rsidR="006905D5" w:rsidRDefault="006905D5">
      <w:pPr>
        <w:pStyle w:val="a8"/>
      </w:pPr>
      <w:r>
        <w:t>ДП- долгосрочные пассивы</w:t>
      </w:r>
    </w:p>
    <w:p w:rsidR="006905D5" w:rsidRDefault="006905D5">
      <w:pPr>
        <w:pStyle w:val="a8"/>
      </w:pPr>
      <w:r>
        <w:t>КП- краткосрочные пассивы</w:t>
      </w:r>
    </w:p>
    <w:p w:rsidR="006905D5" w:rsidRDefault="006905D5">
      <w:pPr>
        <w:pStyle w:val="a8"/>
      </w:pPr>
      <w:r>
        <w:t>АВ- активы внеоборотные</w:t>
      </w:r>
    </w:p>
    <w:p w:rsidR="006905D5" w:rsidRDefault="006905D5">
      <w:pPr>
        <w:pStyle w:val="a8"/>
        <w:rPr>
          <w:b/>
        </w:rPr>
      </w:pPr>
      <w:r>
        <w:rPr>
          <w:b/>
        </w:rPr>
        <w:t>Формулы</w:t>
      </w:r>
    </w:p>
    <w:p w:rsidR="006905D5" w:rsidRDefault="006905D5">
      <w:pPr>
        <w:pStyle w:val="a8"/>
      </w:pPr>
      <w:r>
        <w:t xml:space="preserve">Кав=КиР/Б,   Кзаем=(ДП+КП)/Б,   </w:t>
      </w:r>
      <w:r>
        <w:rPr>
          <w:lang w:val="en-US"/>
        </w:rPr>
        <w:t>К</w:t>
      </w:r>
      <w:r>
        <w:t>фз=(ДП+КП)/КиР</w:t>
      </w:r>
    </w:p>
    <w:p w:rsidR="006905D5" w:rsidRDefault="006905D5">
      <w:pPr>
        <w:pStyle w:val="a8"/>
      </w:pPr>
      <w:r>
        <w:rPr>
          <w:lang w:val="en-US"/>
        </w:rPr>
        <w:t>К</w:t>
      </w:r>
      <w:r>
        <w:t>фнз=(КиР+ДП)/Б,  Косос=(КиР-АВ)/А</w:t>
      </w:r>
    </w:p>
    <w:p w:rsidR="006905D5" w:rsidRDefault="006905D5">
      <w:pPr>
        <w:pStyle w:val="a8"/>
      </w:pPr>
      <w:r>
        <w:t>Км=(КиР-АВ)/КиР</w:t>
      </w:r>
    </w:p>
    <w:p w:rsidR="006905D5" w:rsidRDefault="006905D5">
      <w:pPr>
        <w:pStyle w:val="a8"/>
      </w:pPr>
      <w:r>
        <w:t xml:space="preserve">                                                                                                  Таблица 3.</w:t>
      </w:r>
    </w:p>
    <w:p w:rsidR="006905D5" w:rsidRDefault="006905D5">
      <w:pPr>
        <w:pStyle w:val="a8"/>
        <w:jc w:val="center"/>
      </w:pPr>
      <w:r>
        <w:t>Относительные показатели финансовой устойчивости.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704"/>
        <w:gridCol w:w="1704"/>
        <w:gridCol w:w="1704"/>
        <w:gridCol w:w="810"/>
        <w:gridCol w:w="704"/>
        <w:gridCol w:w="850"/>
      </w:tblGrid>
      <w:tr w:rsidR="006905D5">
        <w:trPr>
          <w:cantSplit/>
          <w:trHeight w:val="255"/>
        </w:trPr>
        <w:tc>
          <w:tcPr>
            <w:tcW w:w="1704" w:type="dxa"/>
            <w:vMerge w:val="restart"/>
          </w:tcPr>
          <w:p w:rsidR="006905D5" w:rsidRDefault="006905D5">
            <w:pPr>
              <w:pStyle w:val="a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Показатель</w:t>
            </w:r>
          </w:p>
        </w:tc>
        <w:tc>
          <w:tcPr>
            <w:tcW w:w="1704" w:type="dxa"/>
            <w:vMerge w:val="restart"/>
          </w:tcPr>
          <w:p w:rsidR="006905D5" w:rsidRDefault="006905D5">
            <w:pPr>
              <w:pStyle w:val="a8"/>
              <w:rPr>
                <w:b/>
                <w:sz w:val="24"/>
              </w:rPr>
            </w:pPr>
            <w:r>
              <w:rPr>
                <w:b/>
                <w:sz w:val="24"/>
              </w:rPr>
              <w:t>Норматив</w:t>
            </w:r>
          </w:p>
        </w:tc>
        <w:tc>
          <w:tcPr>
            <w:tcW w:w="1704" w:type="dxa"/>
            <w:vMerge w:val="restart"/>
          </w:tcPr>
          <w:p w:rsidR="006905D5" w:rsidRDefault="006905D5">
            <w:pPr>
              <w:pStyle w:val="a8"/>
              <w:rPr>
                <w:b/>
                <w:sz w:val="24"/>
              </w:rPr>
            </w:pPr>
            <w:r>
              <w:rPr>
                <w:b/>
                <w:sz w:val="24"/>
              </w:rPr>
              <w:t>2003 год</w:t>
            </w:r>
          </w:p>
        </w:tc>
        <w:tc>
          <w:tcPr>
            <w:tcW w:w="1704" w:type="dxa"/>
            <w:vMerge w:val="restart"/>
          </w:tcPr>
          <w:p w:rsidR="006905D5" w:rsidRDefault="006905D5">
            <w:pPr>
              <w:pStyle w:val="a8"/>
              <w:rPr>
                <w:b/>
                <w:sz w:val="24"/>
              </w:rPr>
            </w:pPr>
            <w:r>
              <w:rPr>
                <w:b/>
                <w:sz w:val="24"/>
              </w:rPr>
              <w:t>2004 год</w:t>
            </w:r>
          </w:p>
        </w:tc>
        <w:tc>
          <w:tcPr>
            <w:tcW w:w="2364" w:type="dxa"/>
            <w:gridSpan w:val="3"/>
          </w:tcPr>
          <w:p w:rsidR="006905D5" w:rsidRDefault="006905D5">
            <w:pPr>
              <w:pStyle w:val="a8"/>
              <w:rPr>
                <w:b/>
                <w:sz w:val="24"/>
              </w:rPr>
            </w:pPr>
            <w:r>
              <w:rPr>
                <w:b/>
                <w:sz w:val="24"/>
              </w:rPr>
              <w:t>Отклонение</w:t>
            </w:r>
          </w:p>
        </w:tc>
      </w:tr>
      <w:tr w:rsidR="006905D5">
        <w:trPr>
          <w:cantSplit/>
          <w:trHeight w:val="165"/>
        </w:trPr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810" w:type="dxa"/>
            <w:vMerge w:val="restart"/>
          </w:tcPr>
          <w:p w:rsidR="006905D5" w:rsidRDefault="006905D5">
            <w:pPr>
              <w:pStyle w:val="a8"/>
              <w:rPr>
                <w:b/>
                <w:sz w:val="20"/>
              </w:rPr>
            </w:pPr>
            <w:r>
              <w:rPr>
                <w:b/>
                <w:sz w:val="20"/>
              </w:rPr>
              <w:t>За</w:t>
            </w:r>
          </w:p>
          <w:p w:rsidR="006905D5" w:rsidRDefault="006905D5">
            <w:pPr>
              <w:pStyle w:val="a8"/>
              <w:rPr>
                <w:b/>
                <w:sz w:val="20"/>
              </w:rPr>
            </w:pPr>
            <w:r>
              <w:rPr>
                <w:b/>
                <w:sz w:val="20"/>
              </w:rPr>
              <w:t>период</w:t>
            </w:r>
          </w:p>
        </w:tc>
        <w:tc>
          <w:tcPr>
            <w:tcW w:w="1554" w:type="dxa"/>
            <w:gridSpan w:val="2"/>
          </w:tcPr>
          <w:p w:rsidR="006905D5" w:rsidRDefault="006905D5">
            <w:pPr>
              <w:pStyle w:val="a8"/>
              <w:rPr>
                <w:b/>
                <w:sz w:val="20"/>
              </w:rPr>
            </w:pPr>
            <w:r>
              <w:rPr>
                <w:b/>
                <w:sz w:val="20"/>
              </w:rPr>
              <w:t>От нормати-</w:t>
            </w:r>
          </w:p>
          <w:p w:rsidR="006905D5" w:rsidRDefault="006905D5">
            <w:pPr>
              <w:pStyle w:val="a8"/>
              <w:rPr>
                <w:b/>
                <w:sz w:val="20"/>
              </w:rPr>
            </w:pPr>
            <w:r>
              <w:rPr>
                <w:b/>
                <w:sz w:val="20"/>
              </w:rPr>
              <w:t>ва</w:t>
            </w:r>
          </w:p>
        </w:tc>
      </w:tr>
      <w:tr w:rsidR="006905D5">
        <w:trPr>
          <w:cantSplit/>
          <w:trHeight w:val="240"/>
        </w:trPr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1704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810" w:type="dxa"/>
            <w:vMerge/>
          </w:tcPr>
          <w:p w:rsidR="006905D5" w:rsidRDefault="006905D5">
            <w:pPr>
              <w:pStyle w:val="a8"/>
              <w:rPr>
                <w:b/>
                <w:sz w:val="24"/>
              </w:rPr>
            </w:pPr>
          </w:p>
        </w:tc>
        <w:tc>
          <w:tcPr>
            <w:tcW w:w="704" w:type="dxa"/>
          </w:tcPr>
          <w:p w:rsidR="006905D5" w:rsidRDefault="006905D5">
            <w:pPr>
              <w:pStyle w:val="a8"/>
              <w:rPr>
                <w:b/>
                <w:sz w:val="20"/>
              </w:rPr>
            </w:pPr>
            <w:r>
              <w:rPr>
                <w:b/>
                <w:sz w:val="20"/>
              </w:rPr>
              <w:t>2003</w:t>
            </w:r>
          </w:p>
        </w:tc>
        <w:tc>
          <w:tcPr>
            <w:tcW w:w="850" w:type="dxa"/>
          </w:tcPr>
          <w:p w:rsidR="006905D5" w:rsidRDefault="006905D5">
            <w:pPr>
              <w:pStyle w:val="a8"/>
              <w:rPr>
                <w:b/>
                <w:sz w:val="20"/>
              </w:rPr>
            </w:pPr>
            <w:r>
              <w:rPr>
                <w:b/>
                <w:sz w:val="20"/>
              </w:rPr>
              <w:t>2004</w:t>
            </w:r>
          </w:p>
        </w:tc>
      </w:tr>
      <w:tr w:rsidR="006905D5">
        <w:tc>
          <w:tcPr>
            <w:tcW w:w="1704" w:type="dxa"/>
          </w:tcPr>
          <w:p w:rsidR="006905D5" w:rsidRDefault="006905D5">
            <w:pPr>
              <w:pStyle w:val="a8"/>
              <w:rPr>
                <w:sz w:val="24"/>
              </w:rPr>
            </w:pPr>
            <w:r>
              <w:rPr>
                <w:sz w:val="24"/>
              </w:rPr>
              <w:t>Кав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более 0,5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0,888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0,891</w:t>
            </w:r>
          </w:p>
        </w:tc>
        <w:tc>
          <w:tcPr>
            <w:tcW w:w="81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0,388</w:t>
            </w:r>
          </w:p>
        </w:tc>
        <w:tc>
          <w:tcPr>
            <w:tcW w:w="85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0,391</w:t>
            </w:r>
          </w:p>
        </w:tc>
      </w:tr>
      <w:tr w:rsidR="006905D5">
        <w:tc>
          <w:tcPr>
            <w:tcW w:w="1704" w:type="dxa"/>
          </w:tcPr>
          <w:p w:rsidR="006905D5" w:rsidRDefault="006905D5">
            <w:pPr>
              <w:pStyle w:val="a8"/>
              <w:rPr>
                <w:sz w:val="24"/>
              </w:rPr>
            </w:pPr>
            <w:r>
              <w:rPr>
                <w:sz w:val="24"/>
              </w:rPr>
              <w:t>Кзаем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менее 0,5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0,035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0,032</w:t>
            </w:r>
          </w:p>
        </w:tc>
        <w:tc>
          <w:tcPr>
            <w:tcW w:w="81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-0,003</w:t>
            </w:r>
          </w:p>
        </w:tc>
        <w:tc>
          <w:tcPr>
            <w:tcW w:w="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-0,465</w:t>
            </w:r>
          </w:p>
        </w:tc>
        <w:tc>
          <w:tcPr>
            <w:tcW w:w="85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-0,468</w:t>
            </w:r>
          </w:p>
        </w:tc>
      </w:tr>
      <w:tr w:rsidR="006905D5">
        <w:tc>
          <w:tcPr>
            <w:tcW w:w="1704" w:type="dxa"/>
          </w:tcPr>
          <w:p w:rsidR="006905D5" w:rsidRDefault="006905D5">
            <w:pPr>
              <w:pStyle w:val="a8"/>
              <w:rPr>
                <w:sz w:val="24"/>
              </w:rPr>
            </w:pPr>
            <w:r>
              <w:rPr>
                <w:sz w:val="24"/>
                <w:lang w:val="en-US"/>
              </w:rPr>
              <w:t>К</w:t>
            </w:r>
            <w:r>
              <w:rPr>
                <w:sz w:val="24"/>
              </w:rPr>
              <w:t>фз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менее 0,7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0,076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0,074</w:t>
            </w:r>
          </w:p>
        </w:tc>
        <w:tc>
          <w:tcPr>
            <w:tcW w:w="81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-0,002</w:t>
            </w:r>
          </w:p>
        </w:tc>
        <w:tc>
          <w:tcPr>
            <w:tcW w:w="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t>-</w:t>
            </w:r>
            <w:r>
              <w:rPr>
                <w:sz w:val="20"/>
              </w:rPr>
              <w:t>0,624</w:t>
            </w:r>
          </w:p>
        </w:tc>
        <w:tc>
          <w:tcPr>
            <w:tcW w:w="85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-0,626</w:t>
            </w:r>
          </w:p>
        </w:tc>
      </w:tr>
      <w:tr w:rsidR="006905D5">
        <w:tc>
          <w:tcPr>
            <w:tcW w:w="1704" w:type="dxa"/>
          </w:tcPr>
          <w:p w:rsidR="006905D5" w:rsidRDefault="006905D5">
            <w:pPr>
              <w:pStyle w:val="a8"/>
              <w:rPr>
                <w:sz w:val="24"/>
              </w:rPr>
            </w:pPr>
            <w:r>
              <w:rPr>
                <w:sz w:val="24"/>
                <w:lang w:val="en-US"/>
              </w:rPr>
              <w:t>К</w:t>
            </w:r>
            <w:r>
              <w:rPr>
                <w:sz w:val="24"/>
              </w:rPr>
              <w:t>фнз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</w:pP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0,.029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0,033</w:t>
            </w:r>
          </w:p>
        </w:tc>
        <w:tc>
          <w:tcPr>
            <w:tcW w:w="81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0,004</w:t>
            </w:r>
          </w:p>
        </w:tc>
        <w:tc>
          <w:tcPr>
            <w:tcW w:w="704" w:type="dxa"/>
          </w:tcPr>
          <w:p w:rsidR="006905D5" w:rsidRDefault="006905D5">
            <w:pPr>
              <w:pStyle w:val="a8"/>
            </w:pPr>
          </w:p>
        </w:tc>
        <w:tc>
          <w:tcPr>
            <w:tcW w:w="850" w:type="dxa"/>
          </w:tcPr>
          <w:p w:rsidR="006905D5" w:rsidRDefault="006905D5">
            <w:pPr>
              <w:pStyle w:val="a8"/>
            </w:pPr>
          </w:p>
        </w:tc>
      </w:tr>
      <w:tr w:rsidR="006905D5">
        <w:tc>
          <w:tcPr>
            <w:tcW w:w="1704" w:type="dxa"/>
          </w:tcPr>
          <w:p w:rsidR="006905D5" w:rsidRDefault="006905D5">
            <w:pPr>
              <w:pStyle w:val="a8"/>
              <w:rPr>
                <w:sz w:val="24"/>
              </w:rPr>
            </w:pPr>
            <w:r>
              <w:rPr>
                <w:sz w:val="24"/>
              </w:rPr>
              <w:t>Косос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более 0,1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7,582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7,951</w:t>
            </w:r>
          </w:p>
        </w:tc>
        <w:tc>
          <w:tcPr>
            <w:tcW w:w="81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0,369</w:t>
            </w:r>
          </w:p>
        </w:tc>
        <w:tc>
          <w:tcPr>
            <w:tcW w:w="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7,482</w:t>
            </w:r>
          </w:p>
        </w:tc>
        <w:tc>
          <w:tcPr>
            <w:tcW w:w="85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7,851</w:t>
            </w:r>
          </w:p>
        </w:tc>
      </w:tr>
      <w:tr w:rsidR="006905D5">
        <w:tc>
          <w:tcPr>
            <w:tcW w:w="1704" w:type="dxa"/>
          </w:tcPr>
          <w:p w:rsidR="006905D5" w:rsidRDefault="006905D5">
            <w:pPr>
              <w:pStyle w:val="a8"/>
              <w:rPr>
                <w:sz w:val="24"/>
              </w:rPr>
            </w:pPr>
            <w:r>
              <w:rPr>
                <w:sz w:val="24"/>
              </w:rPr>
              <w:t>Км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(0,2; 0,5)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0,649</w:t>
            </w:r>
          </w:p>
        </w:tc>
        <w:tc>
          <w:tcPr>
            <w:tcW w:w="1704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0,652</w:t>
            </w:r>
          </w:p>
        </w:tc>
        <w:tc>
          <w:tcPr>
            <w:tcW w:w="810" w:type="dxa"/>
          </w:tcPr>
          <w:p w:rsidR="006905D5" w:rsidRDefault="006905D5">
            <w:pPr>
              <w:pStyle w:val="a8"/>
              <w:rPr>
                <w:sz w:val="20"/>
              </w:rPr>
            </w:pPr>
            <w:r>
              <w:rPr>
                <w:sz w:val="20"/>
              </w:rPr>
              <w:t>0,003</w:t>
            </w:r>
          </w:p>
        </w:tc>
        <w:tc>
          <w:tcPr>
            <w:tcW w:w="704" w:type="dxa"/>
          </w:tcPr>
          <w:p w:rsidR="006905D5" w:rsidRDefault="006905D5">
            <w:pPr>
              <w:pStyle w:val="a8"/>
              <w:rPr>
                <w:sz w:val="20"/>
              </w:rPr>
            </w:pPr>
          </w:p>
        </w:tc>
        <w:tc>
          <w:tcPr>
            <w:tcW w:w="850" w:type="dxa"/>
          </w:tcPr>
          <w:p w:rsidR="006905D5" w:rsidRDefault="006905D5">
            <w:pPr>
              <w:pStyle w:val="a8"/>
            </w:pPr>
          </w:p>
        </w:tc>
      </w:tr>
    </w:tbl>
    <w:p w:rsidR="006905D5" w:rsidRDefault="006905D5">
      <w:pPr>
        <w:pStyle w:val="a8"/>
      </w:pPr>
    </w:p>
    <w:p w:rsidR="006905D5" w:rsidRDefault="006905D5">
      <w:pPr>
        <w:pStyle w:val="a8"/>
      </w:pPr>
      <w:r>
        <w:t xml:space="preserve">   Как видно из таблицы 3 относительные показатели финансовой устойчивости соответствуют нормативным требованиям. Кроме того положительные тенденции прослеживаются во всем ряде показателей. На основе рассчитанных показателей можно говорить об устойчивости положения данного предприятия. Коэффициент маневренности говорит о доминирующей доле собственного капитала в общей сумме активов.</w:t>
      </w:r>
    </w:p>
    <w:p w:rsidR="006905D5" w:rsidRDefault="006905D5">
      <w:pPr>
        <w:pStyle w:val="a8"/>
      </w:pPr>
      <w:r>
        <w:t xml:space="preserve">   Коэффициент обеспеченности собственными оборотными средствами, значительно превышающий норматив, говорит о высокой стабильности.</w:t>
      </w:r>
    </w:p>
    <w:p w:rsidR="006905D5" w:rsidRDefault="006905D5">
      <w:pPr>
        <w:pStyle w:val="a8"/>
      </w:pPr>
      <w:r>
        <w:t xml:space="preserve">   В свете долгосрочной перспективы наиболее интересен коэффициент автономии. Он также превышает норматив, и эта динамика прослеживается в долгосрочной перспективе.</w:t>
      </w:r>
    </w:p>
    <w:p w:rsidR="006905D5" w:rsidRDefault="006905D5">
      <w:pPr>
        <w:spacing w:line="360" w:lineRule="auto"/>
        <w:rPr>
          <w:sz w:val="28"/>
        </w:rPr>
      </w:pPr>
    </w:p>
    <w:p w:rsidR="006905D5" w:rsidRDefault="006905D5">
      <w:pPr>
        <w:jc w:val="both"/>
        <w:rPr>
          <w:sz w:val="28"/>
        </w:rPr>
      </w:pPr>
      <w:r>
        <w:rPr>
          <w:sz w:val="28"/>
        </w:rPr>
        <w:t xml:space="preserve">       </w:t>
      </w:r>
    </w:p>
    <w:p w:rsidR="006905D5" w:rsidRDefault="006905D5">
      <w:pPr>
        <w:rPr>
          <w:sz w:val="28"/>
        </w:rPr>
      </w:pPr>
      <w:r>
        <w:rPr>
          <w:sz w:val="28"/>
        </w:rPr>
        <w:t>Преподаватель (индивидуальное задание) Барило Л. В. _____________</w:t>
      </w:r>
    </w:p>
    <w:p w:rsidR="006905D5" w:rsidRDefault="006905D5">
      <w:pPr>
        <w:jc w:val="both"/>
        <w:rPr>
          <w:sz w:val="28"/>
        </w:rPr>
      </w:pPr>
      <w:r>
        <w:rPr>
          <w:sz w:val="28"/>
        </w:rPr>
        <w:t xml:space="preserve">           </w:t>
      </w:r>
      <w:bookmarkStart w:id="0" w:name="_GoBack"/>
      <w:bookmarkEnd w:id="0"/>
    </w:p>
    <w:sectPr w:rsidR="006905D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5D5" w:rsidRDefault="006905D5">
      <w:r>
        <w:separator/>
      </w:r>
    </w:p>
    <w:p w:rsidR="006905D5" w:rsidRDefault="006905D5"/>
  </w:endnote>
  <w:endnote w:type="continuationSeparator" w:id="0">
    <w:p w:rsidR="006905D5" w:rsidRDefault="006905D5">
      <w:r>
        <w:continuationSeparator/>
      </w:r>
    </w:p>
    <w:p w:rsidR="006905D5" w:rsidRDefault="006905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5D5" w:rsidRDefault="006905D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905D5" w:rsidRDefault="006905D5">
    <w:pPr>
      <w:pStyle w:val="a3"/>
      <w:ind w:right="360"/>
    </w:pPr>
  </w:p>
  <w:p w:rsidR="006905D5" w:rsidRDefault="006905D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5D5" w:rsidRDefault="006905D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6905D5" w:rsidRDefault="006905D5">
    <w:pPr>
      <w:pStyle w:val="a3"/>
      <w:ind w:right="360"/>
    </w:pPr>
  </w:p>
  <w:p w:rsidR="006905D5" w:rsidRDefault="006905D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5D5" w:rsidRDefault="006905D5">
      <w:r>
        <w:separator/>
      </w:r>
    </w:p>
    <w:p w:rsidR="006905D5" w:rsidRDefault="006905D5"/>
  </w:footnote>
  <w:footnote w:type="continuationSeparator" w:id="0">
    <w:p w:rsidR="006905D5" w:rsidRDefault="006905D5">
      <w:r>
        <w:continuationSeparator/>
      </w:r>
    </w:p>
    <w:p w:rsidR="006905D5" w:rsidRDefault="006905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5D5" w:rsidRDefault="006905D5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905D5" w:rsidRDefault="006905D5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5D5" w:rsidRDefault="006905D5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6905D5" w:rsidRDefault="006905D5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C7501"/>
    <w:multiLevelType w:val="hybridMultilevel"/>
    <w:tmpl w:val="13EA40FC"/>
    <w:lvl w:ilvl="0" w:tplc="FA5A0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1678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C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EF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342E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60E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E80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7AEC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6A7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92768E"/>
    <w:multiLevelType w:val="hybridMultilevel"/>
    <w:tmpl w:val="680615DC"/>
    <w:lvl w:ilvl="0" w:tplc="15F0F968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hint="default"/>
      </w:rPr>
    </w:lvl>
    <w:lvl w:ilvl="1" w:tplc="A5FC33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F4FD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E6B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CE83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46C0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1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944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16F0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F146CF"/>
    <w:multiLevelType w:val="singleLevel"/>
    <w:tmpl w:val="60D8A772"/>
    <w:lvl w:ilvl="0">
      <w:start w:val="423"/>
      <w:numFmt w:val="decimal"/>
      <w:lvlText w:val="%1-"/>
      <w:lvlJc w:val="left"/>
      <w:pPr>
        <w:tabs>
          <w:tab w:val="num" w:pos="945"/>
        </w:tabs>
        <w:ind w:left="945" w:hanging="645"/>
      </w:pPr>
      <w:rPr>
        <w:rFonts w:hint="default"/>
      </w:rPr>
    </w:lvl>
  </w:abstractNum>
  <w:abstractNum w:abstractNumId="3">
    <w:nsid w:val="24ED5216"/>
    <w:multiLevelType w:val="singleLevel"/>
    <w:tmpl w:val="CDC8E5AE"/>
    <w:lvl w:ilvl="0">
      <w:start w:val="99"/>
      <w:numFmt w:val="decimal"/>
      <w:lvlText w:val="%1-"/>
      <w:lvlJc w:val="left"/>
      <w:pPr>
        <w:tabs>
          <w:tab w:val="num" w:pos="945"/>
        </w:tabs>
        <w:ind w:left="945" w:hanging="510"/>
      </w:pPr>
      <w:rPr>
        <w:rFonts w:hint="default"/>
      </w:rPr>
    </w:lvl>
  </w:abstractNum>
  <w:abstractNum w:abstractNumId="4">
    <w:nsid w:val="31AF4580"/>
    <w:multiLevelType w:val="singleLevel"/>
    <w:tmpl w:val="0470AF2C"/>
    <w:lvl w:ilvl="0">
      <w:start w:val="301"/>
      <w:numFmt w:val="decimal"/>
      <w:lvlText w:val="%1-"/>
      <w:lvlJc w:val="left"/>
      <w:pPr>
        <w:tabs>
          <w:tab w:val="num" w:pos="945"/>
        </w:tabs>
        <w:ind w:left="945" w:hanging="645"/>
      </w:pPr>
      <w:rPr>
        <w:rFonts w:hint="default"/>
      </w:rPr>
    </w:lvl>
  </w:abstractNum>
  <w:abstractNum w:abstractNumId="5">
    <w:nsid w:val="498D5AF4"/>
    <w:multiLevelType w:val="singleLevel"/>
    <w:tmpl w:val="FCC4907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2F37968"/>
    <w:multiLevelType w:val="singleLevel"/>
    <w:tmpl w:val="A16AD9AC"/>
    <w:lvl w:ilvl="0">
      <w:start w:val="6"/>
      <w:numFmt w:val="decimalZero"/>
      <w:lvlText w:val="%1-"/>
      <w:lvlJc w:val="left"/>
      <w:pPr>
        <w:tabs>
          <w:tab w:val="num" w:pos="870"/>
        </w:tabs>
        <w:ind w:left="870" w:hanging="510"/>
      </w:pPr>
      <w:rPr>
        <w:rFonts w:hint="default"/>
      </w:rPr>
    </w:lvl>
  </w:abstractNum>
  <w:abstractNum w:abstractNumId="7">
    <w:nsid w:val="57367FC2"/>
    <w:multiLevelType w:val="singleLevel"/>
    <w:tmpl w:val="179C2254"/>
    <w:lvl w:ilvl="0">
      <w:start w:val="1"/>
      <w:numFmt w:val="decimalZero"/>
      <w:lvlText w:val="%1-"/>
      <w:lvlJc w:val="left"/>
      <w:pPr>
        <w:tabs>
          <w:tab w:val="num" w:pos="945"/>
        </w:tabs>
        <w:ind w:left="945" w:hanging="51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ctiveWritingStyle w:appName="MSWord" w:lang="ru-RU" w:vendorID="1" w:dllVersion="512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5D5"/>
    <w:rsid w:val="0036310F"/>
    <w:rsid w:val="006905D5"/>
    <w:rsid w:val="00FC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1ECB7-9F75-4502-80F7-EFF57AF3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i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i/>
      <w:sz w:val="28"/>
    </w:rPr>
  </w:style>
  <w:style w:type="paragraph" w:styleId="3">
    <w:name w:val="heading 3"/>
    <w:basedOn w:val="a"/>
    <w:next w:val="a"/>
    <w:qFormat/>
    <w:pPr>
      <w:keepNext/>
      <w:outlineLvl w:val="2"/>
    </w:p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2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ody Text"/>
    <w:basedOn w:val="a"/>
    <w:pPr>
      <w:jc w:val="center"/>
    </w:pPr>
    <w:rPr>
      <w:b/>
      <w:sz w:val="28"/>
    </w:rPr>
  </w:style>
  <w:style w:type="paragraph" w:styleId="a8">
    <w:name w:val="Body Text Indent"/>
    <w:basedOn w:val="a"/>
    <w:pPr>
      <w:spacing w:line="360" w:lineRule="auto"/>
      <w:jc w:val="both"/>
    </w:pPr>
    <w:rPr>
      <w:sz w:val="28"/>
    </w:rPr>
  </w:style>
  <w:style w:type="paragraph" w:styleId="a9">
    <w:name w:val="Title"/>
    <w:basedOn w:val="a"/>
    <w:qFormat/>
    <w:pPr>
      <w:spacing w:line="360" w:lineRule="auto"/>
      <w:jc w:val="center"/>
    </w:pPr>
    <w:rPr>
      <w:i/>
      <w:sz w:val="32"/>
    </w:rPr>
  </w:style>
  <w:style w:type="paragraph" w:styleId="20">
    <w:name w:val="Body Text 2"/>
    <w:basedOn w:val="a"/>
    <w:pPr>
      <w:spacing w:line="360" w:lineRule="auto"/>
      <w:jc w:val="center"/>
    </w:pPr>
    <w:rPr>
      <w:b/>
      <w:sz w:val="32"/>
    </w:rPr>
  </w:style>
  <w:style w:type="paragraph" w:styleId="30">
    <w:name w:val="Body Text 3"/>
    <w:basedOn w:val="a"/>
    <w:pPr>
      <w:spacing w:line="480" w:lineRule="auto"/>
      <w:jc w:val="center"/>
    </w:pPr>
    <w:rPr>
      <w:b/>
      <w:i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4657</Words>
  <Characters>26550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Home</Company>
  <LinksUpToDate>false</LinksUpToDate>
  <CharactersWithSpaces>31145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ИГОРЬ</dc:creator>
  <cp:keywords/>
  <dc:description/>
  <cp:lastModifiedBy>admin</cp:lastModifiedBy>
  <cp:revision>2</cp:revision>
  <cp:lastPrinted>2005-10-02T16:15:00Z</cp:lastPrinted>
  <dcterms:created xsi:type="dcterms:W3CDTF">2014-06-22T20:01:00Z</dcterms:created>
  <dcterms:modified xsi:type="dcterms:W3CDTF">2014-06-22T20:01:00Z</dcterms:modified>
</cp:coreProperties>
</file>